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1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717237" cy="5572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237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Heading1"/>
        <w:jc w:val="center"/>
      </w:pPr>
      <w:r>
        <w:rPr/>
        <w:t>Trading</w:t>
      </w:r>
      <w:r>
        <w:rPr>
          <w:spacing w:val="-4"/>
        </w:rPr>
        <w:t> </w:t>
      </w:r>
      <w:r>
        <w:rPr/>
        <w:t>Volatility</w:t>
      </w:r>
      <w:r>
        <w:rPr>
          <w:spacing w:val="-1"/>
        </w:rPr>
        <w:t> </w:t>
      </w:r>
      <w:r>
        <w:rPr/>
        <w:t>Using</w:t>
      </w:r>
      <w:r>
        <w:rPr>
          <w:spacing w:val="-6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Volatility</w:t>
      </w:r>
      <w:r>
        <w:rPr>
          <w:spacing w:val="-5"/>
        </w:rPr>
        <w:t> </w:t>
      </w:r>
      <w:r>
        <w:rPr/>
        <w:t>Cones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95"/>
        <w:ind w:left="216" w:right="615"/>
        <w:jc w:val="both"/>
      </w:pPr>
      <w:r>
        <w:rPr/>
        <w:t>The purpose of this paper is to apply the volatility cone method from Burghardt and Lane</w:t>
      </w:r>
      <w:r>
        <w:rPr>
          <w:spacing w:val="-69"/>
        </w:rPr>
        <w:t> </w:t>
      </w:r>
      <w:r>
        <w:rPr/>
        <w:t>(1990) to real life Nortel Networks Corp. (NT) call option data, and to show how volatility</w:t>
      </w:r>
      <w:r>
        <w:rPr>
          <w:spacing w:val="-68"/>
        </w:rPr>
        <w:t> </w:t>
      </w:r>
      <w:r>
        <w:rPr/>
        <w:t>traders and investors could use the technique to help identify trading opportunities using</w:t>
      </w:r>
      <w:r>
        <w:rPr>
          <w:spacing w:val="-68"/>
        </w:rPr>
        <w:t> </w:t>
      </w:r>
      <w:r>
        <w:rPr/>
        <w:t>volatility. However, users are strongly advised to exercise discretion regarding the risk of</w:t>
      </w:r>
      <w:r>
        <w:rPr>
          <w:spacing w:val="-69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 guiding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trading strategies.</w:t>
      </w:r>
    </w:p>
    <w:p>
      <w:pPr>
        <w:pStyle w:val="BodyText"/>
        <w:spacing w:before="10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5.200996pt;margin-top:12.438145pt;width:481.6pt;height:111.85pt;mso-position-horizontal-relative:page;mso-position-vertical-relative:paragraph;z-index:-15728640;mso-wrap-distance-left:0;mso-wrap-distance-right:0" type="#_x0000_t202" filled="true" fillcolor="#ade3c8" stroked="true" strokeweight=".48pt" strokecolor="#000000">
            <v:textbox inset="0,0,0,0">
              <w:txbxContent>
                <w:p>
                  <w:pPr>
                    <w:spacing w:before="19"/>
                    <w:ind w:left="10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Did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know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that…</w:t>
                  </w:r>
                </w:p>
                <w:p>
                  <w:pPr>
                    <w:pStyle w:val="BodyText"/>
                    <w:spacing w:before="1"/>
                    <w:rPr>
                      <w:b/>
                    </w:rPr>
                  </w:pPr>
                </w:p>
                <w:p>
                  <w:pPr>
                    <w:pStyle w:val="BodyText"/>
                    <w:ind w:left="107" w:right="149"/>
                  </w:pPr>
                  <w:r>
                    <w:rPr/>
                    <w:t>There are essentially two types of trading strategies that can be used by participants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options market—</w:t>
                  </w:r>
                  <w:r>
                    <w:rPr>
                      <w:b/>
                    </w:rPr>
                    <w:t>position trading</w:t>
                  </w:r>
                  <w:r>
                    <w:rPr/>
                    <w:t>, where trades are based on expectations regarding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direction of the price of the underlying, and </w:t>
                  </w:r>
                  <w:r>
                    <w:rPr>
                      <w:b/>
                    </w:rPr>
                    <w:t>volatility trading</w:t>
                  </w:r>
                  <w:r>
                    <w:rPr/>
                    <w:t>, which involves taking a view</w:t>
                  </w:r>
                  <w:r>
                    <w:rPr>
                      <w:spacing w:val="-68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market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volatility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forecasts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differs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those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currently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factored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option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prices.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67"/>
                    </w:rPr>
                    <w:t> </w:t>
                  </w:r>
                  <w:r>
                    <w:rPr/>
                    <w:t>keeping a delta-neutral position, volatility trading attempts to eliminate the impact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random events on the market that affect underlying asset prices and to generate a profit 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forecast 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realized.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9"/>
        </w:rPr>
      </w:pPr>
    </w:p>
    <w:p>
      <w:pPr>
        <w:pStyle w:val="Heading1"/>
        <w:spacing w:before="99"/>
        <w:ind w:left="216"/>
      </w:pPr>
      <w:r>
        <w:rPr/>
        <w:t>Terminology</w:t>
      </w:r>
    </w:p>
    <w:p>
      <w:pPr>
        <w:pStyle w:val="BodyText"/>
        <w:spacing w:before="2"/>
        <w:ind w:left="216" w:right="312"/>
      </w:pPr>
      <w:r>
        <w:rPr/>
        <w:t>When talking about volatility, we need to carefully distinguish between different types of</w:t>
      </w:r>
      <w:r>
        <w:rPr>
          <w:spacing w:val="1"/>
        </w:rPr>
        <w:t> </w:t>
      </w:r>
      <w:r>
        <w:rPr/>
        <w:t>volatilities that could potentially lead to different risk/reward characteristics. </w:t>
      </w:r>
      <w:r>
        <w:rPr>
          <w:b/>
        </w:rPr>
        <w:t>Historical</w:t>
      </w:r>
      <w:r>
        <w:rPr>
          <w:b/>
          <w:spacing w:val="1"/>
        </w:rPr>
        <w:t> </w:t>
      </w:r>
      <w:r>
        <w:rPr>
          <w:b/>
        </w:rPr>
        <w:t>volatilities </w:t>
      </w:r>
      <w:r>
        <w:rPr/>
        <w:t>are the trading-day underlying price volatilities observed over a specific period.</w:t>
      </w:r>
      <w:r>
        <w:rPr>
          <w:spacing w:val="-68"/>
        </w:rPr>
        <w:t> </w:t>
      </w:r>
      <w:r>
        <w:rPr/>
        <w:t>Participants generally use 20-day and 30-day historical volatilities. The Exchange’s Web site</w:t>
      </w:r>
      <w:r>
        <w:rPr>
          <w:spacing w:val="-68"/>
        </w:rPr>
        <w:t> </w:t>
      </w:r>
      <w:r>
        <w:rPr/>
        <w:t>provides annualized 30-day historical volatilities for most listed options, with the</w:t>
      </w:r>
      <w:r>
        <w:rPr>
          <w:spacing w:val="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formula explained in</w:t>
      </w:r>
      <w:r>
        <w:rPr>
          <w:spacing w:val="-1"/>
        </w:rPr>
        <w:t> </w:t>
      </w:r>
      <w:r>
        <w:rPr/>
        <w:t>full</w:t>
      </w:r>
      <w:r>
        <w:rPr>
          <w:spacing w:val="2"/>
        </w:rPr>
        <w:t> </w:t>
      </w:r>
      <w:r>
        <w:rPr/>
        <w:t>detail.</w:t>
      </w:r>
    </w:p>
    <w:p>
      <w:pPr>
        <w:pStyle w:val="BodyText"/>
      </w:pPr>
    </w:p>
    <w:p>
      <w:pPr>
        <w:pStyle w:val="BodyText"/>
        <w:ind w:left="216" w:right="216"/>
      </w:pPr>
      <w:r>
        <w:rPr>
          <w:b/>
        </w:rPr>
        <w:t>Implied volatility </w:t>
      </w:r>
      <w:r>
        <w:rPr/>
        <w:t>gets its value from current derivatives prices on the market, reflecting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option</w:t>
      </w:r>
      <w:r>
        <w:rPr>
          <w:spacing w:val="1"/>
        </w:rPr>
        <w:t> </w:t>
      </w:r>
      <w:r>
        <w:rPr/>
        <w:t>traders</w:t>
      </w:r>
      <w:r>
        <w:rPr>
          <w:spacing w:val="2"/>
        </w:rPr>
        <w:t> </w:t>
      </w:r>
      <w:r>
        <w:rPr/>
        <w:t>expect</w:t>
      </w:r>
      <w:r>
        <w:rPr>
          <w:spacing w:val="1"/>
        </w:rPr>
        <w:t> </w:t>
      </w:r>
      <w:r>
        <w:rPr/>
        <w:t>the underlying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price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option. To obtain the implied volatility data as well as the graph corresponding to each series</w:t>
      </w:r>
      <w:r>
        <w:rPr>
          <w:spacing w:val="-68"/>
        </w:rPr>
        <w:t> </w:t>
      </w:r>
      <w:r>
        <w:rPr/>
        <w:t>of options, click on the given implied volatility of the option series under study on the Option</w:t>
      </w:r>
      <w:r>
        <w:rPr>
          <w:spacing w:val="-68"/>
        </w:rPr>
        <w:t> </w:t>
      </w:r>
      <w:r>
        <w:rPr/>
        <w:t>Quotes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hyperlink r:id="rId6">
        <w:r>
          <w:rPr/>
          <w:t>[http://www.m-x.c</w:t>
        </w:r>
      </w:hyperlink>
      <w:r>
        <w:rPr/>
        <w:t>a</w:t>
      </w:r>
      <w:hyperlink r:id="rId6">
        <w:r>
          <w:rPr/>
          <w:t>/cotes_en.php</w:t>
        </w:r>
      </w:hyperlink>
      <w:r>
        <w:rPr/>
        <w:t>].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1"/>
        <w:ind w:left="216"/>
      </w:pPr>
      <w:r>
        <w:rPr/>
        <w:t>Volatility</w:t>
      </w:r>
      <w:r>
        <w:rPr>
          <w:spacing w:val="-5"/>
        </w:rPr>
        <w:t> </w:t>
      </w:r>
      <w:r>
        <w:rPr/>
        <w:t>Cones</w:t>
      </w:r>
    </w:p>
    <w:p>
      <w:pPr>
        <w:pStyle w:val="BodyText"/>
        <w:spacing w:before="1"/>
        <w:ind w:left="216" w:right="269"/>
      </w:pPr>
      <w:r>
        <w:rPr/>
        <w:t>Taking a position on volatility means that your perception of the underlying price volatility</w:t>
      </w:r>
      <w:r>
        <w:rPr>
          <w:spacing w:val="1"/>
        </w:rPr>
        <w:t> </w:t>
      </w:r>
      <w:r>
        <w:rPr/>
        <w:t>differs from the market consensus. However, the challenge facing volatility traders is how to</w:t>
      </w:r>
      <w:r>
        <w:rPr>
          <w:spacing w:val="-69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are cheap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expensive.</w:t>
      </w:r>
    </w:p>
    <w:p>
      <w:pPr>
        <w:pStyle w:val="BodyText"/>
      </w:pPr>
    </w:p>
    <w:p>
      <w:pPr>
        <w:pStyle w:val="BodyText"/>
        <w:ind w:left="216" w:right="318"/>
        <w:jc w:val="both"/>
      </w:pPr>
      <w:r>
        <w:rPr/>
        <w:t>Although a powerful tool for determining the theoretical price of a specific option, the Black-</w:t>
      </w:r>
      <w:r>
        <w:rPr>
          <w:spacing w:val="-69"/>
        </w:rPr>
        <w:t> </w:t>
      </w:r>
      <w:r>
        <w:rPr/>
        <w:t>Scholes model actually assumes an option’s volatility to be known and constant, whereas in</w:t>
      </w:r>
      <w:r>
        <w:rPr>
          <w:spacing w:val="-68"/>
        </w:rPr>
        <w:t> </w:t>
      </w:r>
      <w:r>
        <w:rPr/>
        <w:t>reality it is not. Participants normally turn to historical volatilities and try to discern whether</w:t>
      </w:r>
      <w:r>
        <w:rPr>
          <w:spacing w:val="-68"/>
        </w:rPr>
        <w:t> </w:t>
      </w:r>
      <w:r>
        <w:rPr/>
        <w:t>implied volatilities (and resulting options prices), are too high or too low compared with two</w:t>
      </w:r>
      <w:r>
        <w:rPr>
          <w:spacing w:val="-68"/>
        </w:rPr>
        <w:t> </w:t>
      </w:r>
      <w:r>
        <w:rPr/>
        <w:t>sets of</w:t>
      </w:r>
      <w:r>
        <w:rPr>
          <w:spacing w:val="-2"/>
        </w:rPr>
        <w:t> </w:t>
      </w:r>
      <w:r>
        <w:rPr/>
        <w:t>volatility data.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16" w:right="217"/>
      </w:pPr>
      <w:r>
        <w:rPr/>
        <w:t>Unfortunately, this frequently-used method has its shortfalls, primarily because of the time</w:t>
      </w:r>
      <w:r>
        <w:rPr>
          <w:spacing w:val="1"/>
        </w:rPr>
        <w:t> </w:t>
      </w:r>
      <w:r>
        <w:rPr/>
        <w:t>horizon</w:t>
      </w:r>
      <w:r>
        <w:rPr>
          <w:spacing w:val="6"/>
        </w:rPr>
        <w:t> </w:t>
      </w:r>
      <w:r>
        <w:rPr/>
        <w:t>mismatch</w:t>
      </w:r>
      <w:r>
        <w:rPr>
          <w:spacing w:val="6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these</w:t>
      </w:r>
      <w:r>
        <w:rPr>
          <w:spacing w:val="5"/>
        </w:rPr>
        <w:t> </w:t>
      </w:r>
      <w:r>
        <w:rPr/>
        <w:t>two</w:t>
      </w:r>
      <w:r>
        <w:rPr>
          <w:spacing w:val="4"/>
        </w:rPr>
        <w:t> </w:t>
      </w:r>
      <w:r>
        <w:rPr/>
        <w:t>volatilities.</w:t>
      </w:r>
      <w:r>
        <w:rPr>
          <w:spacing w:val="5"/>
        </w:rPr>
        <w:t> </w:t>
      </w:r>
      <w:r>
        <w:rPr/>
        <w:t>Any</w:t>
      </w:r>
      <w:r>
        <w:rPr>
          <w:spacing w:val="8"/>
        </w:rPr>
        <w:t> </w:t>
      </w:r>
      <w:r>
        <w:rPr/>
        <w:t>reading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option’s</w:t>
      </w:r>
      <w:r>
        <w:rPr>
          <w:spacing w:val="4"/>
        </w:rPr>
        <w:t> </w:t>
      </w:r>
      <w:r>
        <w:rPr/>
        <w:t>implied</w:t>
      </w:r>
      <w:r>
        <w:rPr>
          <w:spacing w:val="1"/>
        </w:rPr>
        <w:t> </w:t>
      </w:r>
      <w:r>
        <w:rPr/>
        <w:t>volatility is in fact a volatility forecast of the underlying over the remaining life of the option.</w:t>
      </w:r>
      <w:r>
        <w:rPr>
          <w:spacing w:val="-68"/>
        </w:rPr>
        <w:t> </w:t>
      </w:r>
      <w:r>
        <w:rPr/>
        <w:t>Fixed time periods for computing historical volatilities do not match the varying time to</w:t>
      </w:r>
      <w:r>
        <w:rPr>
          <w:spacing w:val="1"/>
        </w:rPr>
        <w:t> </w:t>
      </w:r>
      <w:r>
        <w:rPr/>
        <w:t>expiry for options with different expiry dates. Volatility cones, initially proposed by Burghardt</w:t>
      </w:r>
      <w:r>
        <w:rPr>
          <w:spacing w:val="-69"/>
        </w:rPr>
        <w:t> </w:t>
      </w:r>
      <w:r>
        <w:rPr/>
        <w:t>and</w:t>
      </w:r>
      <w:r>
        <w:rPr>
          <w:spacing w:val="-2"/>
        </w:rPr>
        <w:t> </w:t>
      </w:r>
      <w:r>
        <w:rPr/>
        <w:t>Lane, can</w:t>
      </w:r>
      <w:r>
        <w:rPr>
          <w:spacing w:val="-2"/>
        </w:rPr>
        <w:t> </w:t>
      </w:r>
      <w:r>
        <w:rPr/>
        <w:t>help</w:t>
      </w:r>
      <w:r>
        <w:rPr>
          <w:spacing w:val="-1"/>
        </w:rPr>
        <w:t> </w:t>
      </w:r>
      <w:r>
        <w:rPr/>
        <w:t>us</w:t>
      </w:r>
      <w:r>
        <w:rPr>
          <w:spacing w:val="-4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volatility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volatility.</w:t>
      </w:r>
    </w:p>
    <w:p>
      <w:pPr>
        <w:spacing w:after="0"/>
        <w:sectPr>
          <w:type w:val="continuous"/>
          <w:pgSz w:w="12240" w:h="15840"/>
          <w:pgMar w:top="1080" w:bottom="280" w:left="1200" w:right="1200"/>
        </w:sectPr>
      </w:pPr>
    </w:p>
    <w:p>
      <w:pPr>
        <w:pStyle w:val="BodyText"/>
        <w:spacing w:before="83"/>
        <w:ind w:left="216" w:right="221"/>
      </w:pPr>
      <w:r>
        <w:rPr/>
        <w:t>There are two basic ideas behind the volatility cone concept. First, price volatility shows</w:t>
      </w:r>
      <w:r>
        <w:rPr>
          <w:spacing w:val="1"/>
        </w:rPr>
        <w:t> </w:t>
      </w:r>
      <w:r>
        <w:rPr/>
        <w:t>(supported by empirical evidence) an apparent trend called mean reversion, on the basis of</w:t>
      </w:r>
      <w:r>
        <w:rPr>
          <w:spacing w:val="1"/>
        </w:rPr>
        <w:t> </w:t>
      </w:r>
      <w:r>
        <w:rPr/>
        <w:t>which a forecast could be made regarding volatilities in their future movements. Accordingly,</w:t>
      </w:r>
      <w:r>
        <w:rPr>
          <w:spacing w:val="-68"/>
        </w:rPr>
        <w:t> </w:t>
      </w:r>
      <w:r>
        <w:rPr/>
        <w:t>volatility cones are constructed as a benchmark to identify whether current implied</w:t>
      </w:r>
      <w:r>
        <w:rPr>
          <w:spacing w:val="1"/>
        </w:rPr>
        <w:t> </w:t>
      </w:r>
      <w:r>
        <w:rPr/>
        <w:t>volatilities are too high or too low. Second, time horizon matching is required while we apply</w:t>
      </w:r>
      <w:r>
        <w:rPr>
          <w:spacing w:val="-68"/>
        </w:rPr>
        <w:t> </w:t>
      </w:r>
      <w:r>
        <w:rPr/>
        <w:t>the volatility cone method in practice, i.e. implied volatilities of options with 1 month to</w:t>
      </w:r>
      <w:r>
        <w:rPr>
          <w:spacing w:val="1"/>
        </w:rPr>
        <w:t> </w:t>
      </w:r>
      <w:r>
        <w:rPr/>
        <w:t>expiry are compared with 1-month historical volatilities, while implied volatilities of options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months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expiry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3-month</w:t>
      </w:r>
      <w:r>
        <w:rPr>
          <w:spacing w:val="-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volatilities.</w:t>
      </w:r>
    </w:p>
    <w:p>
      <w:pPr>
        <w:pStyle w:val="BodyText"/>
        <w:spacing w:before="1"/>
      </w:pPr>
    </w:p>
    <w:p>
      <w:pPr>
        <w:pStyle w:val="BodyText"/>
        <w:ind w:left="216" w:right="263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paragraphs,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compiled</w:t>
      </w:r>
      <w:r>
        <w:rPr>
          <w:spacing w:val="-6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Nortel</w:t>
      </w:r>
      <w:r>
        <w:rPr>
          <w:spacing w:val="-1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/>
        <w:t>from</w:t>
      </w:r>
      <w:r>
        <w:rPr>
          <w:spacing w:val="-68"/>
        </w:rPr>
        <w:t> </w:t>
      </w:r>
      <w:r>
        <w:rPr/>
        <w:t>our Web site, constructed a volatility cone and illustrated the ranges of volatility experience</w:t>
      </w:r>
      <w:r>
        <w:rPr>
          <w:spacing w:val="1"/>
        </w:rPr>
        <w:t> </w:t>
      </w:r>
      <w:r>
        <w:rPr/>
        <w:t>for different time horizons. Since most equity options have less than 1 year to expiry, we</w:t>
      </w:r>
      <w:r>
        <w:rPr>
          <w:spacing w:val="1"/>
        </w:rPr>
        <w:t> </w:t>
      </w:r>
      <w:r>
        <w:rPr/>
        <w:t>have segmented the 1 year span into periods of 1, 3, 6, 9 and 12 months. To include more</w:t>
      </w:r>
      <w:r>
        <w:rPr>
          <w:spacing w:val="1"/>
        </w:rPr>
        <w:t> </w:t>
      </w:r>
      <w:r>
        <w:rPr/>
        <w:t>data samples for the 12-month volatility estimates, we began with 15-month historical NT</w:t>
      </w:r>
      <w:r>
        <w:rPr>
          <w:spacing w:val="1"/>
        </w:rPr>
        <w:t> </w:t>
      </w:r>
      <w:r>
        <w:rPr/>
        <w:t>stock price data and estimated historical volatilities over periods of 1 month. In this case, a</w:t>
      </w:r>
      <w:r>
        <w:rPr>
          <w:spacing w:val="1"/>
        </w:rPr>
        <w:t> </w:t>
      </w:r>
      <w:r>
        <w:rPr/>
        <w:t>15-month historical stock prices time series can be downloaded from </w:t>
      </w:r>
      <w:r>
        <w:rPr>
          <w:i/>
        </w:rPr>
        <w:t>Yahoo! Finance </w:t>
      </w:r>
      <w:r>
        <w:rPr/>
        <w:t>at</w:t>
      </w:r>
      <w:r>
        <w:rPr>
          <w:spacing w:val="1"/>
        </w:rPr>
        <w:t> </w:t>
      </w:r>
      <w:hyperlink r:id="rId7">
        <w:r>
          <w:rPr>
            <w:color w:val="0000FF"/>
            <w:u w:val="single" w:color="0000FF"/>
          </w:rPr>
          <w:t>http://finance.yahoo.com</w:t>
        </w:r>
        <w:r>
          <w:rPr>
            <w:color w:val="0000FF"/>
          </w:rPr>
          <w:t> </w:t>
        </w:r>
      </w:hyperlink>
      <w:r>
        <w:rPr/>
        <w:t>by entering the symbol “nt.to”, then clicking the graph and</w:t>
      </w:r>
      <w:r>
        <w:rPr>
          <w:spacing w:val="1"/>
        </w:rPr>
        <w:t> </w:t>
      </w:r>
      <w:r>
        <w:rPr/>
        <w:t>selecting</w:t>
      </w:r>
      <w:r>
        <w:rPr>
          <w:spacing w:val="-1"/>
        </w:rPr>
        <w:t> </w:t>
      </w:r>
      <w:r>
        <w:rPr/>
        <w:t>“Historical</w:t>
      </w:r>
      <w:r>
        <w:rPr>
          <w:spacing w:val="2"/>
        </w:rPr>
        <w:t> </w:t>
      </w:r>
      <w:r>
        <w:rPr/>
        <w:t>Prices”.</w:t>
      </w:r>
    </w:p>
    <w:p>
      <w:pPr>
        <w:pStyle w:val="BodyText"/>
      </w:pPr>
    </w:p>
    <w:p>
      <w:pPr>
        <w:pStyle w:val="BodyText"/>
        <w:ind w:left="216"/>
      </w:pPr>
      <w:r>
        <w:rPr/>
        <w:pict>
          <v:group style="position:absolute;margin-left:295.953491pt;margin-top:34.525711pt;width:26.7pt;height:14.25pt;mso-position-horizontal-relative:page;mso-position-vertical-relative:paragraph;z-index:15729664" coordorigin="5919,691" coordsize="534,285">
            <v:line style="position:absolute" from="5924,868" to="5955,851" stroked="true" strokeweight=".495pt" strokecolor="#000000">
              <v:stroke dashstyle="solid"/>
            </v:line>
            <v:line style="position:absolute" from="5955,856" to="5998,938" stroked="true" strokeweight=".991pt" strokecolor="#000000">
              <v:stroke dashstyle="solid"/>
            </v:line>
            <v:shape style="position:absolute;left:6005;top:695;width:442;height:243" coordorigin="6006,695" coordsize="442,243" path="m6006,938l6063,695,6447,695e" filled="false" stroked="true" strokeweight=".495pt" strokecolor="#000000">
              <v:path arrowok="t"/>
              <v:stroke dashstyle="solid"/>
            </v:shape>
            <v:shape style="position:absolute;left:5919;top:690;width:534;height:285" type="#_x0000_t202" filled="false" stroked="false">
              <v:textbox inset="0,0,0,0">
                <w:txbxContent>
                  <w:p>
                    <w:pPr>
                      <w:spacing w:before="9"/>
                      <w:ind w:left="158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</w:t>
      </w:r>
      <w:r>
        <w:rPr>
          <w:spacing w:val="-4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volatilities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formula: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480" w:bottom="280" w:left="1200" w:right="1200"/>
        </w:sectPr>
      </w:pPr>
    </w:p>
    <w:p>
      <w:pPr>
        <w:pStyle w:val="BodyText"/>
        <w:spacing w:before="6"/>
        <w:rPr>
          <w:sz w:val="23"/>
        </w:rPr>
      </w:pPr>
    </w:p>
    <w:p>
      <w:pPr>
        <w:tabs>
          <w:tab w:pos="3019" w:val="left" w:leader="none"/>
        </w:tabs>
        <w:spacing w:line="100" w:lineRule="auto" w:before="0"/>
        <w:ind w:left="2993" w:right="70" w:hanging="636"/>
        <w:jc w:val="left"/>
        <w:rPr>
          <w:rFonts w:ascii="Times New Roman" w:hAnsi="Times New Roman"/>
          <w:i/>
          <w:sz w:val="24"/>
        </w:rPr>
      </w:pPr>
      <w:r>
        <w:rPr/>
        <w:pict>
          <v:group style="position:absolute;margin-left:200.193497pt;margin-top:-10.213718pt;width:76pt;height:31.85pt;mso-position-horizontal-relative:page;mso-position-vertical-relative:paragraph;z-index:-16059904" coordorigin="4004,-204" coordsize="1520,637">
            <v:shape style="position:absolute;left:4008;top:-44;width:1488;height:248" coordorigin="4009,-43" coordsize="1488,248" path="m4167,120l4390,120m5307,-43l5497,-43m4009,204l4040,185e" filled="false" stroked="true" strokeweight=".495pt" strokecolor="#000000">
              <v:path arrowok="t"/>
              <v:stroke dashstyle="solid"/>
            </v:shape>
            <v:line style="position:absolute" from="4040,189" to="4086,422" stroked="true" strokeweight=".991pt" strokecolor="#000000">
              <v:stroke dashstyle="solid"/>
            </v:line>
            <v:shape style="position:absolute;left:4090;top:-200;width:1428;height:622" coordorigin="4090,-199" coordsize="1428,622" path="m4090,422l4148,-199,5518,-199e" filled="false" stroked="true" strokeweight=".49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50.000397pt;margin-top:5.762522pt;width:1.95pt;height:7.7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5"/>
        </w:rPr>
        <w:t></w:t>
      </w:r>
      <w:r>
        <w:rPr>
          <w:rFonts w:ascii="Times New Roman" w:hAnsi="Times New Roman"/>
          <w:spacing w:val="37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ab/>
        <w:tab/>
      </w:r>
      <w:r>
        <w:rPr>
          <w:rFonts w:ascii="Times New Roman" w:hAnsi="Times New Roman"/>
          <w:position w:val="15"/>
          <w:sz w:val="24"/>
        </w:rPr>
        <w:t>1</w:t>
      </w:r>
      <w:r>
        <w:rPr>
          <w:rFonts w:ascii="Times New Roman" w:hAnsi="Times New Roman"/>
          <w:spacing w:val="50"/>
          <w:position w:val="15"/>
          <w:sz w:val="24"/>
        </w:rPr>
        <w:t> </w:t>
      </w:r>
      <w:r>
        <w:rPr>
          <w:rFonts w:ascii="Lucida Sans Unicode" w:hAnsi="Lucida Sans Unicode"/>
          <w:spacing w:val="13"/>
          <w:position w:val="-5"/>
          <w:sz w:val="36"/>
        </w:rPr>
        <w:t>Σ</w:t>
      </w:r>
      <w:r>
        <w:rPr>
          <w:rFonts w:ascii="Times New Roman" w:hAnsi="Times New Roman"/>
          <w:spacing w:val="13"/>
          <w:sz w:val="24"/>
        </w:rPr>
        <w:t>(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57"/>
          <w:sz w:val="24"/>
        </w:rPr>
        <w:t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59"/>
          <w:sz w:val="24"/>
        </w:rPr>
        <w:t> </w:t>
      </w:r>
      <w:r>
        <w:rPr>
          <w:rFonts w:ascii="Times New Roman" w:hAnsi="Times New Roman"/>
          <w:i/>
          <w:sz w:val="24"/>
          <w:vertAlign w:val="subscript"/>
        </w:rPr>
        <w:t>i</w:t>
      </w:r>
    </w:p>
    <w:p>
      <w:pPr>
        <w:spacing w:before="224"/>
        <w:ind w:left="4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1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7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-3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  <w:vertAlign w:val="superscript"/>
        </w:rPr>
        <w:t>2</w:t>
      </w:r>
      <w:r>
        <w:rPr>
          <w:rFonts w:ascii="Times New Roman" w:hAnsi="Times New Roman"/>
          <w:spacing w:val="12"/>
          <w:w w:val="95"/>
          <w:sz w:val="24"/>
          <w:vertAlign w:val="baseline"/>
        </w:rPr>
        <w:t> </w:t>
      </w:r>
      <w:r>
        <w:rPr>
          <w:rFonts w:ascii="Times New Roman" w:hAnsi="Times New Roman"/>
          <w:w w:val="95"/>
          <w:sz w:val="24"/>
          <w:vertAlign w:val="baseline"/>
        </w:rPr>
        <w:t>*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top="1080" w:bottom="280" w:left="1200" w:right="1200"/>
          <w:cols w:num="2" w:equalWidth="0">
            <w:col w:w="3839" w:space="40"/>
            <w:col w:w="5961"/>
          </w:cols>
        </w:sectPr>
      </w:pPr>
    </w:p>
    <w:p>
      <w:pPr>
        <w:pStyle w:val="BodyText"/>
        <w:spacing w:before="5"/>
        <w:rPr>
          <w:rFonts w:ascii="Times New Roman"/>
        </w:rPr>
      </w:pPr>
    </w:p>
    <w:p>
      <w:pPr>
        <w:spacing w:before="101"/>
        <w:ind w:left="239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Symbol" w:hAnsi="Symbol"/>
          <w:position w:val="-5"/>
          <w:sz w:val="14"/>
        </w:rPr>
        <w:t>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22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ln(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Symbol" w:hAnsi="Symbol"/>
          <w:position w:val="-5"/>
          <w:sz w:val="14"/>
        </w:rPr>
        <w:t></w:t>
      </w:r>
      <w:r>
        <w:rPr>
          <w:rFonts w:ascii="Times New Roman" w:hAnsi="Times New Roman"/>
          <w:position w:val="-5"/>
          <w:sz w:val="14"/>
        </w:rPr>
        <w:t>1</w:t>
      </w:r>
      <w:r>
        <w:rPr>
          <w:rFonts w:ascii="Times New Roman" w:hAnsi="Times New Roman"/>
          <w:spacing w:val="28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i/>
          <w:position w:val="-5"/>
          <w:sz w:val="14"/>
        </w:rPr>
        <w:t>i</w:t>
      </w:r>
      <w:r>
        <w:rPr>
          <w:rFonts w:ascii="Times New Roman" w:hAnsi="Times New Roman"/>
          <w:i/>
          <w:spacing w:val="9"/>
          <w:position w:val="-5"/>
          <w:sz w:val="14"/>
        </w:rPr>
        <w:t> </w:t>
      </w:r>
      <w:r>
        <w:rPr>
          <w:rFonts w:ascii="Times New Roman" w:hAnsi="Times New Roman"/>
          <w:sz w:val="24"/>
        </w:rPr>
        <w:t>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line="243" w:lineRule="exact" w:before="99"/>
        <w:ind w:left="216"/>
      </w:pPr>
      <w:r>
        <w:rPr/>
        <w:t>where</w:t>
      </w:r>
      <w:r>
        <w:rPr>
          <w:spacing w:val="23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stock closing</w:t>
      </w:r>
      <w:r>
        <w:rPr>
          <w:spacing w:val="-1"/>
        </w:rPr>
        <w:t> </w:t>
      </w:r>
      <w:r>
        <w:rPr/>
        <w:t>price</w:t>
      </w:r>
    </w:p>
    <w:p>
      <w:pPr>
        <w:pStyle w:val="BodyText"/>
        <w:ind w:left="924" w:right="319"/>
      </w:pPr>
      <w:r>
        <w:rPr/>
        <w:t>N = number of business days in the period under study (e.g. N = 20 for 1 month, 60</w:t>
      </w:r>
      <w:r>
        <w:rPr>
          <w:spacing w:val="-68"/>
        </w:rPr>
        <w:t> </w:t>
      </w:r>
      <w:r>
        <w:rPr/>
        <w:t>for</w:t>
      </w:r>
      <w:r>
        <w:rPr>
          <w:spacing w:val="-1"/>
        </w:rPr>
        <w:t> </w:t>
      </w:r>
      <w:r>
        <w:rPr/>
        <w:t>3 months,</w:t>
      </w:r>
      <w:r>
        <w:rPr>
          <w:spacing w:val="1"/>
        </w:rPr>
        <w:t> </w:t>
      </w:r>
      <w:r>
        <w:rPr/>
        <w:t>etc.)</w:t>
      </w:r>
    </w:p>
    <w:p>
      <w:pPr>
        <w:pStyle w:val="BodyText"/>
      </w:pPr>
    </w:p>
    <w:p>
      <w:pPr>
        <w:pStyle w:val="BodyText"/>
        <w:ind w:left="216" w:right="497"/>
      </w:pPr>
      <w:r>
        <w:rPr/>
        <w:t>We multiplied by the square root of 252 (trading days per year) to annualize the historical</w:t>
      </w:r>
      <w:r>
        <w:rPr>
          <w:spacing w:val="-68"/>
        </w:rPr>
        <w:t> </w:t>
      </w:r>
      <w:r>
        <w:rPr/>
        <w:t>volatility.</w:t>
      </w:r>
    </w:p>
    <w:p>
      <w:pPr>
        <w:pStyle w:val="BodyText"/>
        <w:spacing w:before="1"/>
      </w:pPr>
    </w:p>
    <w:p>
      <w:pPr>
        <w:pStyle w:val="BodyText"/>
        <w:ind w:left="216" w:right="572"/>
      </w:pPr>
      <w:r>
        <w:rPr/>
        <w:t>Because we advance in 1-month increments, this procedure produces fifteen 1-month,</w:t>
      </w:r>
      <w:r>
        <w:rPr>
          <w:spacing w:val="1"/>
        </w:rPr>
        <w:t> </w:t>
      </w:r>
      <w:r>
        <w:rPr/>
        <w:t>thirteen 3-month, ten 6-month, seven 9-month and 4 twelve-month historical volatilities.</w:t>
      </w:r>
      <w:r>
        <w:rPr>
          <w:spacing w:val="-68"/>
        </w:rPr>
        <w:t> </w:t>
      </w:r>
      <w:r>
        <w:rPr/>
        <w:t>Table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volatilities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volatility</w:t>
      </w:r>
      <w:r>
        <w:rPr>
          <w:spacing w:val="-1"/>
        </w:rPr>
        <w:t> </w:t>
      </w:r>
      <w:r>
        <w:rPr/>
        <w:t>cone.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16" w:right="319"/>
      </w:pPr>
      <w:r>
        <w:rPr/>
        <w:t>By plotting historical volatilities with different time horizons over days to option expiry, we</w:t>
      </w:r>
      <w:r>
        <w:rPr>
          <w:spacing w:val="1"/>
        </w:rPr>
        <w:t> </w:t>
      </w:r>
      <w:r>
        <w:rPr/>
        <w:t>obtained the volatility cone of NT stock for the period starting today to one year forward, as</w:t>
      </w:r>
      <w:r>
        <w:rPr>
          <w:spacing w:val="-68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I. Note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1"/>
        </w:rPr>
        <w:t> </w:t>
      </w:r>
      <w:r>
        <w:rPr/>
        <w:t>runs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left.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overlaid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left="216" w:right="718"/>
      </w:pPr>
      <w:r>
        <w:rPr/>
        <w:t>30-day</w:t>
      </w:r>
      <w:r>
        <w:rPr>
          <w:spacing w:val="-4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volatilities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NT</w:t>
      </w:r>
      <w:r>
        <w:rPr>
          <w:spacing w:val="-4"/>
        </w:rPr>
        <w:t> </w:t>
      </w:r>
      <w:r>
        <w:rPr/>
        <w:t>March</w:t>
      </w:r>
      <w:r>
        <w:rPr>
          <w:spacing w:val="-3"/>
        </w:rPr>
        <w:t> </w:t>
      </w:r>
      <w:r>
        <w:rPr/>
        <w:t>03</w:t>
      </w:r>
      <w:r>
        <w:rPr>
          <w:spacing w:val="-1"/>
        </w:rPr>
        <w:t> </w:t>
      </w:r>
      <w:r>
        <w:rPr/>
        <w:t>4.500</w:t>
      </w:r>
      <w:r>
        <w:rPr>
          <w:spacing w:val="-4"/>
        </w:rPr>
        <w:t> </w:t>
      </w:r>
      <w:r>
        <w:rPr/>
        <w:t>call</w:t>
      </w:r>
      <w:r>
        <w:rPr>
          <w:spacing w:val="-1"/>
        </w:rPr>
        <w:t> </w:t>
      </w:r>
      <w:r>
        <w:rPr/>
        <w:t>option</w:t>
      </w:r>
      <w:r>
        <w:rPr>
          <w:spacing w:val="-5"/>
        </w:rPr>
        <w:t> </w:t>
      </w:r>
      <w:r>
        <w:rPr/>
        <w:t>implied</w:t>
      </w:r>
      <w:r>
        <w:rPr>
          <w:spacing w:val="-4"/>
        </w:rPr>
        <w:t> </w:t>
      </w:r>
      <w:r>
        <w:rPr/>
        <w:t>volatilities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68"/>
        </w:rPr>
        <w:t> </w:t>
      </w:r>
      <w:r>
        <w:rPr/>
        <w:t>graph to compare the current volatility level with the corresponding historical volatility</w:t>
      </w:r>
      <w:r>
        <w:rPr>
          <w:spacing w:val="1"/>
        </w:rPr>
        <w:t> </w:t>
      </w:r>
      <w:r>
        <w:rPr/>
        <w:t>performance for exactly the same time to expiry. Typically, implied volatilities are taken</w:t>
      </w:r>
      <w:r>
        <w:rPr>
          <w:spacing w:val="-68"/>
        </w:rPr>
        <w:t> </w:t>
      </w:r>
      <w:r>
        <w:rPr/>
        <w:t>from</w:t>
      </w:r>
      <w:r>
        <w:rPr>
          <w:spacing w:val="-1"/>
        </w:rPr>
        <w:t> </w:t>
      </w:r>
      <w:r>
        <w:rPr/>
        <w:t>at-the-money</w:t>
      </w:r>
      <w:r>
        <w:rPr>
          <w:spacing w:val="1"/>
        </w:rPr>
        <w:t> </w:t>
      </w:r>
      <w:r>
        <w:rPr/>
        <w:t>options.</w:t>
      </w:r>
    </w:p>
    <w:p>
      <w:pPr>
        <w:spacing w:after="0"/>
        <w:sectPr>
          <w:type w:val="continuous"/>
          <w:pgSz w:w="12240" w:h="15840"/>
          <w:pgMar w:top="1080" w:bottom="280" w:left="1200" w:right="1200"/>
        </w:sectPr>
      </w:pPr>
    </w:p>
    <w:p>
      <w:pPr>
        <w:pStyle w:val="Heading1"/>
        <w:spacing w:before="83"/>
        <w:jc w:val="center"/>
      </w:pPr>
      <w:r>
        <w:rPr/>
        <w:t>Table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Nortel</w:t>
      </w:r>
      <w:r>
        <w:rPr>
          <w:spacing w:val="-2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Historical Volatilities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122.681007pt;margin-top:12.216646pt;width:366pt;height:1pt;mso-position-horizontal-relative:page;mso-position-vertical-relative:paragraph;z-index:-15726592;mso-wrap-distance-left:0;mso-wrap-distance-right:0" coordorigin="2454,244" coordsize="7320,20" path="m6637,244l6618,244,5540,244,5521,244,4441,244,4422,244,2454,244,2454,264,4422,264,4441,264,5521,264,5540,264,6618,264,6637,264,6637,244xm9774,244l8694,244,8674,244,7736,244,7717,244,6637,244,6637,264,7717,264,7736,264,8674,264,8694,264,9774,264,9774,244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2041" w:val="left" w:leader="none"/>
        </w:tabs>
        <w:spacing w:before="22" w:after="52"/>
        <w:ind w:left="0" w:right="0" w:firstLine="0"/>
        <w:jc w:val="center"/>
        <w:rPr>
          <w:b/>
          <w:sz w:val="20"/>
        </w:rPr>
      </w:pPr>
      <w:r>
        <w:rPr>
          <w:b/>
          <w:sz w:val="20"/>
        </w:rPr>
        <w:t>Period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ending*</w:t>
        <w:tab/>
      </w:r>
      <w:r>
        <w:rPr>
          <w:b/>
          <w:w w:val="95"/>
          <w:sz w:val="20"/>
        </w:rPr>
        <w:t>1-Month</w:t>
      </w:r>
      <w:r>
        <w:rPr>
          <w:b/>
          <w:spacing w:val="163"/>
          <w:sz w:val="20"/>
        </w:rPr>
        <w:t> </w:t>
      </w:r>
      <w:r>
        <w:rPr>
          <w:b/>
          <w:w w:val="95"/>
          <w:sz w:val="20"/>
        </w:rPr>
        <w:t>3-Month</w:t>
      </w:r>
      <w:r>
        <w:rPr>
          <w:b/>
          <w:spacing w:val="160"/>
          <w:sz w:val="20"/>
        </w:rPr>
        <w:t> </w:t>
      </w:r>
      <w:r>
        <w:rPr>
          <w:b/>
          <w:w w:val="95"/>
          <w:sz w:val="20"/>
        </w:rPr>
        <w:t>6-Month</w:t>
      </w:r>
      <w:r>
        <w:rPr>
          <w:b/>
          <w:spacing w:val="62"/>
          <w:sz w:val="20"/>
        </w:rPr>
        <w:t> </w:t>
      </w:r>
      <w:r>
        <w:rPr>
          <w:b/>
          <w:w w:val="95"/>
          <w:sz w:val="20"/>
        </w:rPr>
        <w:t>9-Month</w:t>
      </w:r>
      <w:r>
        <w:rPr>
          <w:b/>
          <w:spacing w:val="-37"/>
          <w:w w:val="95"/>
          <w:sz w:val="20"/>
        </w:rPr>
        <w:t> </w:t>
      </w:r>
      <w:r>
        <w:rPr>
          <w:b/>
          <w:w w:val="95"/>
          <w:sz w:val="20"/>
        </w:rPr>
        <w:t>12-Month</w:t>
      </w:r>
    </w:p>
    <w:p>
      <w:pPr>
        <w:pStyle w:val="BodyText"/>
        <w:spacing w:line="20" w:lineRule="exact"/>
        <w:ind w:left="1253"/>
        <w:rPr>
          <w:sz w:val="2"/>
        </w:rPr>
      </w:pPr>
      <w:r>
        <w:rPr>
          <w:sz w:val="2"/>
        </w:rPr>
        <w:pict>
          <v:group style="width:366pt;height:1pt;mso-position-horizontal-relative:char;mso-position-vertical-relative:line" coordorigin="0,0" coordsize="7320,20">
            <v:shape style="position:absolute;left:0;top:0;width:7320;height:20" coordorigin="0,0" coordsize="7320,20" path="m4183,0l4164,0,3086,0,3067,0,1987,0,1968,0,0,0,0,19,1968,19,1987,19,3067,19,3086,19,4164,19,4183,19,4183,0xm7320,0l6240,0,6221,0,5282,0,5263,0,4183,0,4183,19,5263,19,5282,19,6221,19,6240,19,7320,19,732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16"/>
        </w:rPr>
      </w:pPr>
    </w:p>
    <w:tbl>
      <w:tblPr>
        <w:tblW w:w="0" w:type="auto"/>
        <w:jc w:val="left"/>
        <w:tblInd w:w="1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1"/>
        <w:gridCol w:w="1251"/>
        <w:gridCol w:w="1129"/>
        <w:gridCol w:w="1031"/>
        <w:gridCol w:w="1027"/>
        <w:gridCol w:w="1054"/>
      </w:tblGrid>
      <w:tr>
        <w:trPr>
          <w:trHeight w:val="297" w:hRule="atLeast"/>
        </w:trPr>
        <w:tc>
          <w:tcPr>
            <w:tcW w:w="1821" w:type="dxa"/>
          </w:tcPr>
          <w:p>
            <w:pPr>
              <w:pStyle w:val="TableParagraph"/>
              <w:spacing w:before="49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Jan-04</w:t>
            </w:r>
          </w:p>
        </w:tc>
        <w:tc>
          <w:tcPr>
            <w:tcW w:w="1251" w:type="dxa"/>
          </w:tcPr>
          <w:p>
            <w:pPr>
              <w:pStyle w:val="TableParagraph"/>
              <w:spacing w:before="49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92.62%</w:t>
            </w:r>
          </w:p>
        </w:tc>
        <w:tc>
          <w:tcPr>
            <w:tcW w:w="11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1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Dec-03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27.11%</w:t>
            </w:r>
          </w:p>
        </w:tc>
        <w:tc>
          <w:tcPr>
            <w:tcW w:w="112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Nov-03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41.42%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65.09%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Oct-03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39.05%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36.43%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Sep-03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84.88%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59.36%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Aug-03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30.83%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57.11%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61.30%</w:t>
            </w:r>
          </w:p>
        </w:tc>
        <w:tc>
          <w:tcPr>
            <w:tcW w:w="20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Jul-03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64.66%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64.65%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52.65%</w:t>
            </w:r>
          </w:p>
        </w:tc>
        <w:tc>
          <w:tcPr>
            <w:tcW w:w="102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Jun-03</w:t>
            </w:r>
          </w:p>
        </w:tc>
        <w:tc>
          <w:tcPr>
            <w:tcW w:w="1251" w:type="dxa"/>
          </w:tcPr>
          <w:p>
            <w:pPr>
              <w:pStyle w:val="TableParagraph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45.01%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50.33%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55.10%</w:t>
            </w:r>
          </w:p>
        </w:tc>
        <w:tc>
          <w:tcPr>
            <w:tcW w:w="1027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May-04</w:t>
            </w:r>
          </w:p>
        </w:tc>
        <w:tc>
          <w:tcPr>
            <w:tcW w:w="1251" w:type="dxa"/>
          </w:tcPr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41.04%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1"/>
              <w:rPr>
                <w:sz w:val="20"/>
              </w:rPr>
            </w:pPr>
            <w:r>
              <w:rPr>
                <w:sz w:val="20"/>
              </w:rPr>
              <w:t>52.62%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0"/>
              <w:rPr>
                <w:sz w:val="20"/>
              </w:rPr>
            </w:pPr>
            <w:r>
              <w:rPr>
                <w:sz w:val="20"/>
              </w:rPr>
              <w:t>54.98%</w:t>
            </w:r>
          </w:p>
        </w:tc>
        <w:tc>
          <w:tcPr>
            <w:tcW w:w="1027" w:type="dxa"/>
          </w:tcPr>
          <w:p>
            <w:pPr>
              <w:pStyle w:val="TableParagraph"/>
              <w:ind w:left="99" w:right="88"/>
              <w:rPr>
                <w:sz w:val="20"/>
              </w:rPr>
            </w:pPr>
            <w:r>
              <w:rPr>
                <w:sz w:val="20"/>
              </w:rPr>
              <w:t>58.67%</w:t>
            </w:r>
          </w:p>
        </w:tc>
        <w:tc>
          <w:tcPr>
            <w:tcW w:w="10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Apr-03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46.63%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45.86%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56.14%</w:t>
            </w:r>
          </w:p>
        </w:tc>
        <w:tc>
          <w:tcPr>
            <w:tcW w:w="1027" w:type="dxa"/>
          </w:tcPr>
          <w:p>
            <w:pPr>
              <w:pStyle w:val="TableParagraph"/>
              <w:ind w:left="99" w:right="89"/>
              <w:rPr>
                <w:sz w:val="20"/>
              </w:rPr>
            </w:pPr>
            <w:r>
              <w:rPr>
                <w:sz w:val="20"/>
              </w:rPr>
              <w:t>50.50%</w:t>
            </w:r>
          </w:p>
        </w:tc>
        <w:tc>
          <w:tcPr>
            <w:tcW w:w="10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Mar-03</w:t>
            </w:r>
          </w:p>
        </w:tc>
        <w:tc>
          <w:tcPr>
            <w:tcW w:w="1251" w:type="dxa"/>
          </w:tcPr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46.63%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1"/>
              <w:rPr>
                <w:sz w:val="20"/>
              </w:rPr>
            </w:pPr>
            <w:r>
              <w:rPr>
                <w:sz w:val="20"/>
              </w:rPr>
              <w:t>45.86%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0"/>
              <w:rPr>
                <w:sz w:val="20"/>
              </w:rPr>
            </w:pPr>
            <w:r>
              <w:rPr>
                <w:sz w:val="20"/>
              </w:rPr>
              <w:t>56.14%</w:t>
            </w:r>
          </w:p>
        </w:tc>
        <w:tc>
          <w:tcPr>
            <w:tcW w:w="1027" w:type="dxa"/>
          </w:tcPr>
          <w:p>
            <w:pPr>
              <w:pStyle w:val="TableParagraph"/>
              <w:ind w:left="99" w:right="87"/>
              <w:rPr>
                <w:sz w:val="20"/>
              </w:rPr>
            </w:pPr>
            <w:r>
              <w:rPr>
                <w:sz w:val="20"/>
              </w:rPr>
              <w:t>50.50%</w:t>
            </w:r>
          </w:p>
        </w:tc>
        <w:tc>
          <w:tcPr>
            <w:tcW w:w="10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Feb-03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60.17%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54.50%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53.56%</w:t>
            </w:r>
          </w:p>
        </w:tc>
        <w:tc>
          <w:tcPr>
            <w:tcW w:w="1027" w:type="dxa"/>
          </w:tcPr>
          <w:p>
            <w:pPr>
              <w:pStyle w:val="TableParagraph"/>
              <w:ind w:left="99" w:right="89"/>
              <w:rPr>
                <w:sz w:val="20"/>
              </w:rPr>
            </w:pPr>
            <w:r>
              <w:rPr>
                <w:sz w:val="20"/>
              </w:rPr>
              <w:t>54.87%</w:t>
            </w:r>
          </w:p>
        </w:tc>
        <w:tc>
          <w:tcPr>
            <w:tcW w:w="1054" w:type="dxa"/>
          </w:tcPr>
          <w:p>
            <w:pPr>
              <w:pStyle w:val="TableParagraph"/>
              <w:ind w:left="100" w:right="113"/>
              <w:rPr>
                <w:sz w:val="20"/>
              </w:rPr>
            </w:pPr>
            <w:r>
              <w:rPr>
                <w:sz w:val="20"/>
              </w:rPr>
              <w:t>57.76%</w:t>
            </w: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Jan-03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86.30%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71.07%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59.81%</w:t>
            </w:r>
          </w:p>
        </w:tc>
        <w:tc>
          <w:tcPr>
            <w:tcW w:w="1027" w:type="dxa"/>
          </w:tcPr>
          <w:p>
            <w:pPr>
              <w:pStyle w:val="TableParagraph"/>
              <w:ind w:left="99" w:right="89"/>
              <w:rPr>
                <w:sz w:val="20"/>
              </w:rPr>
            </w:pPr>
            <w:r>
              <w:rPr>
                <w:sz w:val="20"/>
              </w:rPr>
              <w:t>61.53%</w:t>
            </w:r>
          </w:p>
        </w:tc>
        <w:tc>
          <w:tcPr>
            <w:tcW w:w="1054" w:type="dxa"/>
          </w:tcPr>
          <w:p>
            <w:pPr>
              <w:pStyle w:val="TableParagraph"/>
              <w:ind w:left="100" w:right="113"/>
              <w:rPr>
                <w:sz w:val="20"/>
              </w:rPr>
            </w:pPr>
            <w:r>
              <w:rPr>
                <w:sz w:val="20"/>
              </w:rPr>
              <w:t>56.33%</w:t>
            </w: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Dec-02</w:t>
            </w:r>
          </w:p>
        </w:tc>
        <w:tc>
          <w:tcPr>
            <w:tcW w:w="1251" w:type="dxa"/>
          </w:tcPr>
          <w:p>
            <w:pPr>
              <w:pStyle w:val="TableParagraph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127.96%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2"/>
              <w:rPr>
                <w:sz w:val="20"/>
              </w:rPr>
            </w:pPr>
            <w:r>
              <w:rPr>
                <w:sz w:val="20"/>
              </w:rPr>
              <w:t>97.76%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1"/>
              <w:rPr>
                <w:sz w:val="20"/>
              </w:rPr>
            </w:pPr>
            <w:r>
              <w:rPr>
                <w:sz w:val="20"/>
              </w:rPr>
              <w:t>76.60%</w:t>
            </w:r>
          </w:p>
        </w:tc>
        <w:tc>
          <w:tcPr>
            <w:tcW w:w="1027" w:type="dxa"/>
          </w:tcPr>
          <w:p>
            <w:pPr>
              <w:pStyle w:val="TableParagraph"/>
              <w:ind w:left="99" w:right="89"/>
              <w:rPr>
                <w:sz w:val="20"/>
              </w:rPr>
            </w:pPr>
            <w:r>
              <w:rPr>
                <w:sz w:val="20"/>
              </w:rPr>
              <w:t>69.13%</w:t>
            </w:r>
          </w:p>
        </w:tc>
        <w:tc>
          <w:tcPr>
            <w:tcW w:w="1054" w:type="dxa"/>
          </w:tcPr>
          <w:p>
            <w:pPr>
              <w:pStyle w:val="TableParagraph"/>
              <w:ind w:left="100" w:right="113"/>
              <w:rPr>
                <w:sz w:val="20"/>
              </w:rPr>
            </w:pPr>
            <w:r>
              <w:rPr>
                <w:sz w:val="20"/>
              </w:rPr>
              <w:t>66.83%</w:t>
            </w:r>
          </w:p>
        </w:tc>
      </w:tr>
      <w:tr>
        <w:trPr>
          <w:trHeight w:val="373" w:hRule="atLeast"/>
        </w:trPr>
        <w:tc>
          <w:tcPr>
            <w:tcW w:w="1821" w:type="dxa"/>
          </w:tcPr>
          <w:p>
            <w:pPr>
              <w:pStyle w:val="TableParagraph"/>
              <w:spacing w:line="240" w:lineRule="auto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Nov-02</w:t>
            </w:r>
          </w:p>
        </w:tc>
        <w:tc>
          <w:tcPr>
            <w:tcW w:w="1251" w:type="dxa"/>
          </w:tcPr>
          <w:p>
            <w:pPr>
              <w:pStyle w:val="TableParagraph"/>
              <w:spacing w:line="240" w:lineRule="auto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98.12%</w:t>
            </w:r>
          </w:p>
        </w:tc>
        <w:tc>
          <w:tcPr>
            <w:tcW w:w="1129" w:type="dxa"/>
          </w:tcPr>
          <w:p>
            <w:pPr>
              <w:pStyle w:val="TableParagraph"/>
              <w:spacing w:line="240" w:lineRule="auto"/>
              <w:ind w:left="70" w:right="94"/>
              <w:rPr>
                <w:sz w:val="20"/>
              </w:rPr>
            </w:pPr>
            <w:r>
              <w:rPr>
                <w:sz w:val="20"/>
              </w:rPr>
              <w:t>107.87%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ind w:left="100" w:right="91"/>
              <w:rPr>
                <w:sz w:val="20"/>
              </w:rPr>
            </w:pPr>
            <w:r>
              <w:rPr>
                <w:sz w:val="20"/>
              </w:rPr>
              <w:t>86.00%</w:t>
            </w:r>
          </w:p>
        </w:tc>
        <w:tc>
          <w:tcPr>
            <w:tcW w:w="1027" w:type="dxa"/>
          </w:tcPr>
          <w:p>
            <w:pPr>
              <w:pStyle w:val="TableParagraph"/>
              <w:spacing w:line="240" w:lineRule="auto"/>
              <w:ind w:left="99" w:right="89"/>
              <w:rPr>
                <w:sz w:val="20"/>
              </w:rPr>
            </w:pPr>
            <w:r>
              <w:rPr>
                <w:sz w:val="20"/>
              </w:rPr>
              <w:t>76.40%</w:t>
            </w:r>
          </w:p>
        </w:tc>
        <w:tc>
          <w:tcPr>
            <w:tcW w:w="1054" w:type="dxa"/>
          </w:tcPr>
          <w:p>
            <w:pPr>
              <w:pStyle w:val="TableParagraph"/>
              <w:spacing w:line="240" w:lineRule="auto"/>
              <w:ind w:left="100" w:right="113"/>
              <w:rPr>
                <w:sz w:val="20"/>
              </w:rPr>
            </w:pPr>
            <w:r>
              <w:rPr>
                <w:sz w:val="20"/>
              </w:rPr>
              <w:t>72.07%</w:t>
            </w:r>
          </w:p>
        </w:tc>
      </w:tr>
      <w:tr>
        <w:trPr>
          <w:trHeight w:val="373" w:hRule="atLeast"/>
        </w:trPr>
        <w:tc>
          <w:tcPr>
            <w:tcW w:w="1821" w:type="dxa"/>
          </w:tcPr>
          <w:p>
            <w:pPr>
              <w:pStyle w:val="TableParagraph"/>
              <w:spacing w:before="125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EXPIRY</w:t>
            </w:r>
          </w:p>
        </w:tc>
        <w:tc>
          <w:tcPr>
            <w:tcW w:w="1251" w:type="dxa"/>
          </w:tcPr>
          <w:p>
            <w:pPr>
              <w:pStyle w:val="TableParagraph"/>
              <w:spacing w:before="125"/>
              <w:ind w:left="555" w:right="40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29" w:type="dxa"/>
          </w:tcPr>
          <w:p>
            <w:pPr>
              <w:pStyle w:val="TableParagraph"/>
              <w:spacing w:before="125"/>
              <w:ind w:left="69" w:right="9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031" w:type="dxa"/>
          </w:tcPr>
          <w:p>
            <w:pPr>
              <w:pStyle w:val="TableParagraph"/>
              <w:spacing w:before="125"/>
              <w:ind w:left="100" w:right="92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1027" w:type="dxa"/>
          </w:tcPr>
          <w:p>
            <w:pPr>
              <w:pStyle w:val="TableParagraph"/>
              <w:spacing w:before="125"/>
              <w:ind w:left="98" w:right="89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1054" w:type="dxa"/>
          </w:tcPr>
          <w:p>
            <w:pPr>
              <w:pStyle w:val="TableParagraph"/>
              <w:spacing w:before="125"/>
              <w:ind w:left="100" w:right="115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</w:tc>
        <w:tc>
          <w:tcPr>
            <w:tcW w:w="1251" w:type="dxa"/>
          </w:tcPr>
          <w:p>
            <w:pPr>
              <w:pStyle w:val="TableParagraph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127.96%</w:t>
            </w:r>
          </w:p>
        </w:tc>
        <w:tc>
          <w:tcPr>
            <w:tcW w:w="1129" w:type="dxa"/>
          </w:tcPr>
          <w:p>
            <w:pPr>
              <w:pStyle w:val="TableParagraph"/>
              <w:ind w:left="69" w:right="94"/>
              <w:rPr>
                <w:sz w:val="20"/>
              </w:rPr>
            </w:pPr>
            <w:r>
              <w:rPr>
                <w:sz w:val="20"/>
              </w:rPr>
              <w:t>107.87%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86.00%</w:t>
            </w:r>
          </w:p>
        </w:tc>
        <w:tc>
          <w:tcPr>
            <w:tcW w:w="1027" w:type="dxa"/>
          </w:tcPr>
          <w:p>
            <w:pPr>
              <w:pStyle w:val="TableParagraph"/>
              <w:ind w:left="99" w:right="89"/>
              <w:rPr>
                <w:sz w:val="20"/>
              </w:rPr>
            </w:pPr>
            <w:r>
              <w:rPr>
                <w:sz w:val="20"/>
              </w:rPr>
              <w:t>76.40%</w:t>
            </w:r>
          </w:p>
        </w:tc>
        <w:tc>
          <w:tcPr>
            <w:tcW w:w="1054" w:type="dxa"/>
          </w:tcPr>
          <w:p>
            <w:pPr>
              <w:pStyle w:val="TableParagraph"/>
              <w:ind w:left="100" w:right="114"/>
              <w:rPr>
                <w:sz w:val="20"/>
              </w:rPr>
            </w:pPr>
            <w:r>
              <w:rPr>
                <w:sz w:val="20"/>
              </w:rPr>
              <w:t>72.07%</w:t>
            </w:r>
          </w:p>
        </w:tc>
      </w:tr>
      <w:tr>
        <w:trPr>
          <w:trHeight w:val="252" w:hRule="atLeast"/>
        </w:trPr>
        <w:tc>
          <w:tcPr>
            <w:tcW w:w="1821" w:type="dxa"/>
          </w:tcPr>
          <w:p>
            <w:pPr>
              <w:pStyle w:val="TableParagraph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Mean</w:t>
            </w:r>
          </w:p>
        </w:tc>
        <w:tc>
          <w:tcPr>
            <w:tcW w:w="1251" w:type="dxa"/>
          </w:tcPr>
          <w:p>
            <w:pPr>
              <w:pStyle w:val="TableParagraph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62.16%</w:t>
            </w:r>
          </w:p>
        </w:tc>
        <w:tc>
          <w:tcPr>
            <w:tcW w:w="1129" w:type="dxa"/>
          </w:tcPr>
          <w:p>
            <w:pPr>
              <w:pStyle w:val="TableParagraph"/>
              <w:ind w:left="70" w:right="93"/>
              <w:rPr>
                <w:sz w:val="20"/>
              </w:rPr>
            </w:pPr>
            <w:r>
              <w:rPr>
                <w:sz w:val="20"/>
              </w:rPr>
              <w:t>62.19%</w:t>
            </w:r>
          </w:p>
        </w:tc>
        <w:tc>
          <w:tcPr>
            <w:tcW w:w="1031" w:type="dxa"/>
          </w:tcPr>
          <w:p>
            <w:pPr>
              <w:pStyle w:val="TableParagraph"/>
              <w:ind w:left="100" w:right="92"/>
              <w:rPr>
                <w:sz w:val="20"/>
              </w:rPr>
            </w:pPr>
            <w:r>
              <w:rPr>
                <w:sz w:val="20"/>
              </w:rPr>
              <w:t>61.23%</w:t>
            </w:r>
          </w:p>
        </w:tc>
        <w:tc>
          <w:tcPr>
            <w:tcW w:w="1027" w:type="dxa"/>
          </w:tcPr>
          <w:p>
            <w:pPr>
              <w:pStyle w:val="TableParagraph"/>
              <w:ind w:left="99" w:right="89"/>
              <w:rPr>
                <w:sz w:val="20"/>
              </w:rPr>
            </w:pPr>
            <w:r>
              <w:rPr>
                <w:sz w:val="20"/>
              </w:rPr>
              <w:t>60.23%</w:t>
            </w:r>
          </w:p>
        </w:tc>
        <w:tc>
          <w:tcPr>
            <w:tcW w:w="1054" w:type="dxa"/>
          </w:tcPr>
          <w:p>
            <w:pPr>
              <w:pStyle w:val="TableParagraph"/>
              <w:ind w:left="100" w:right="114"/>
              <w:rPr>
                <w:sz w:val="20"/>
              </w:rPr>
            </w:pPr>
            <w:r>
              <w:rPr>
                <w:sz w:val="20"/>
              </w:rPr>
              <w:t>63.25%</w:t>
            </w:r>
          </w:p>
        </w:tc>
      </w:tr>
      <w:tr>
        <w:trPr>
          <w:trHeight w:val="245" w:hRule="atLeast"/>
        </w:trPr>
        <w:tc>
          <w:tcPr>
            <w:tcW w:w="18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1" w:lineRule="exact"/>
              <w:ind w:left="14"/>
              <w:jc w:val="left"/>
              <w:rPr>
                <w:sz w:val="20"/>
              </w:rPr>
            </w:pPr>
            <w:r>
              <w:rPr>
                <w:sz w:val="20"/>
              </w:rPr>
              <w:t>Minimum</w:t>
            </w:r>
          </w:p>
        </w:tc>
        <w:tc>
          <w:tcPr>
            <w:tcW w:w="12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27.11%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1" w:lineRule="exact"/>
              <w:ind w:left="70" w:right="94"/>
              <w:rPr>
                <w:sz w:val="20"/>
              </w:rPr>
            </w:pPr>
            <w:r>
              <w:rPr>
                <w:sz w:val="20"/>
              </w:rPr>
              <w:t>36.43%</w:t>
            </w:r>
          </w:p>
        </w:tc>
        <w:tc>
          <w:tcPr>
            <w:tcW w:w="10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1" w:lineRule="exact"/>
              <w:ind w:left="99" w:right="92"/>
              <w:rPr>
                <w:sz w:val="20"/>
              </w:rPr>
            </w:pPr>
            <w:r>
              <w:rPr>
                <w:sz w:val="20"/>
              </w:rPr>
              <w:t>52.65%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1" w:lineRule="exact"/>
              <w:ind w:left="97" w:right="89"/>
              <w:rPr>
                <w:sz w:val="20"/>
              </w:rPr>
            </w:pPr>
            <w:r>
              <w:rPr>
                <w:sz w:val="20"/>
              </w:rPr>
              <w:t>50.50%</w:t>
            </w:r>
          </w:p>
        </w:tc>
        <w:tc>
          <w:tcPr>
            <w:tcW w:w="105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1" w:lineRule="exact"/>
              <w:ind w:left="99" w:right="115"/>
              <w:rPr>
                <w:sz w:val="20"/>
              </w:rPr>
            </w:pPr>
            <w:r>
              <w:rPr>
                <w:sz w:val="20"/>
              </w:rPr>
              <w:t>56.33%</w:t>
            </w:r>
          </w:p>
        </w:tc>
      </w:tr>
    </w:tbl>
    <w:p>
      <w:pPr>
        <w:pStyle w:val="BodyText"/>
        <w:spacing w:before="1"/>
        <w:rPr>
          <w:b/>
          <w:sz w:val="24"/>
        </w:rPr>
      </w:pPr>
    </w:p>
    <w:p>
      <w:pPr>
        <w:pStyle w:val="BodyText"/>
        <w:ind w:left="1268"/>
      </w:pPr>
      <w:r>
        <w:rPr/>
        <w:t>*</w:t>
      </w:r>
      <w:r>
        <w:rPr>
          <w:spacing w:val="-2"/>
        </w:rPr>
        <w:t> </w:t>
      </w:r>
      <w:r>
        <w:rPr/>
        <w:t>Period</w:t>
      </w:r>
      <w:r>
        <w:rPr>
          <w:spacing w:val="-2"/>
        </w:rPr>
        <w:t> </w:t>
      </w:r>
      <w:r>
        <w:rPr/>
        <w:t>ends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trading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month</w:t>
      </w:r>
    </w:p>
    <w:p>
      <w:pPr>
        <w:pStyle w:val="BodyText"/>
        <w:rPr>
          <w:sz w:val="24"/>
        </w:rPr>
      </w:pPr>
    </w:p>
    <w:p>
      <w:pPr>
        <w:pStyle w:val="Heading1"/>
        <w:spacing w:before="193"/>
        <w:ind w:left="2122" w:right="411" w:hanging="1004"/>
      </w:pPr>
      <w:r>
        <w:rPr/>
        <w:pict>
          <v:shape style="position:absolute;margin-left:140.143585pt;margin-top:96.784012pt;width:15.75pt;height:9.15pt;mso-position-horizontal-relative:page;mso-position-vertical-relative:paragraph;z-index:15732224;rotation:359" type="#_x0000_t136" fillcolor="#000000" stroked="f">
            <o:extrusion v:ext="view" autorotationcenter="t"/>
            <v:textpath style="font-family:&quot;Arial MT&quot;;font-size:9pt;v-text-kern:t;mso-text-shadow:auto" string="Vol."/>
            <w10:wrap type="none"/>
          </v:shape>
        </w:pict>
      </w:r>
      <w:r>
        <w:rPr/>
        <w:t>Figure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Volatility</w:t>
      </w:r>
      <w:r>
        <w:rPr>
          <w:spacing w:val="-2"/>
        </w:rPr>
        <w:t> </w:t>
      </w:r>
      <w:r>
        <w:rPr/>
        <w:t>Cone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Nortel</w:t>
      </w:r>
      <w:r>
        <w:rPr>
          <w:spacing w:val="-4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as at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2003</w:t>
      </w:r>
      <w:r>
        <w:rPr>
          <w:spacing w:val="-65"/>
        </w:rPr>
        <w:t> </w:t>
      </w:r>
      <w:r>
        <w:rPr/>
        <w:t>30-day</w:t>
      </w:r>
      <w:r>
        <w:rPr>
          <w:spacing w:val="-3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Volatilities</w:t>
      </w:r>
      <w:r>
        <w:rPr>
          <w:spacing w:val="-1"/>
        </w:rPr>
        <w:t> </w:t>
      </w:r>
      <w:r>
        <w:rPr/>
        <w:t>vs. Implied</w:t>
      </w:r>
      <w:r>
        <w:rPr>
          <w:spacing w:val="-1"/>
        </w:rPr>
        <w:t> </w:t>
      </w:r>
      <w:r>
        <w:rPr/>
        <w:t>Volatility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ind w:left="1347" w:right="269" w:hanging="3"/>
      </w:pPr>
      <w:r>
        <w:rPr/>
        <w:pict>
          <v:group style="position:absolute;margin-left:112.661003pt;margin-top:-238.286133pt;width:386.4pt;height:222.25pt;mso-position-horizontal-relative:page;mso-position-vertical-relative:paragraph;z-index:15731712" coordorigin="2253,-4766" coordsize="7728,4445">
            <v:rect style="position:absolute;left:2254;top:-4765;width:7726;height:4443" filled="false" stroked="true" strokeweight=".12pt" strokecolor="#000000">
              <v:stroke dashstyle="solid"/>
            </v:rect>
            <v:rect style="position:absolute;left:3267;top:-3493;width:6221;height:2415" filled="false" stroked="true" strokeweight=".96pt" strokecolor="#808080">
              <v:stroke dashstyle="solid"/>
            </v:rect>
            <v:shape style="position:absolute;left:3219;top:-3493;width:6269;height:2463" coordorigin="3219,-3493" coordsize="6269,2463" path="m3267,-3493l3267,-1078m3219,-1078l3267,-1078m3219,-1347l3267,-1347m3219,-1616l3267,-1616m3219,-1885l3267,-1885m3219,-2153l3267,-2153m3219,-2417l3267,-2417m3219,-2686l3267,-2686m3219,-2955l3267,-2955m3219,-3224l3267,-3224m3219,-3493l3267,-3493m3267,-1078l9488,-1078m3267,-1030l3267,-1078m3786,-1030l3786,-1078m4304,-1030l4304,-1078m4822,-1030l4822,-1078m5341,-1030l5341,-1078m5859,-1030l5859,-1078m6378,-1030l6378,-1078m6896,-1030l6896,-1078m7414,-1030l7414,-1078m7933,-1030l7933,-1078m8451,-1030l8451,-1078m8970,-1030l8970,-1078m9488,-1030l9488,-1078e" filled="false" stroked="true" strokeweight=".12pt" strokecolor="#000000">
              <v:path arrowok="t"/>
              <v:stroke dashstyle="solid"/>
            </v:shape>
            <v:shape style="position:absolute;left:4025;top:-2226;width:3183;height:735" coordorigin="4026,-2225" coordsize="3183,735" path="m4026,-2221l4035,-2225,4045,-2225,4054,-2206,4059,-2192,4069,-2173,4078,-2168,4083,-2173,4093,-2177,4107,-2177,4112,-2173,4117,-2158,4117,-2139,4122,-2115,4122,-2091,4126,-2062,4126,-2038,4131,-2019,4131,-2005,4136,-2000,4141,-2000,4146,-2005,4150,-2005,4155,-2009,4165,-2009,4174,-2005,4194,-2005,4213,-2009,4227,-2014,4246,-2014,4251,-2009,4256,-1995,4266,-1947,4270,-1937,4270,-1933,4275,-1933,4280,-1937,4285,-1937,4304,-1928,4357,-1928,4366,-1918,4366,-1913,4371,-1909,4376,-1909,4386,-1918,4395,-1918,4410,-1904,4448,-1904,4467,-1899,4496,-1899,4501,-1894,4501,-1885,4506,-1875,4510,-1861,4510,-1827,4515,-1784,4515,-1736,4520,-1683,4525,-1625,4525,-1577,4530,-1534,4530,-1501,4539,-1491,4544,-1491,4549,-1496,4554,-1505,4568,-1529,4587,-1549,4592,-1558,4597,-1563,4606,-1563,4611,-1549,4611,-1539,4616,-1529,4630,-1529,4630,-1534,4635,-1529,4659,-1529,4678,-1534,4693,-1539,4717,-1539,4736,-1577,4741,-1582,4746,-1577,4755,-1577,4760,-1582,4832,-1582,4842,-1577,4856,-1577,4875,-1587,4880,-1592,4952,-1592,4962,-1587,4976,-1577,4986,-1573,4995,-1573,5014,-1592,5038,-1592,5053,-1597,5062,-1601,5067,-1616,5072,-1635,5082,-1664,5091,-1673,5144,-1673,5163,-1669,5187,-1669,5197,-1673,5202,-1678,5221,-1678,5226,-1673,5226,-1669,5235,-1659,5245,-1659,5250,-1664,5254,-1659,5264,-1645,5283,-1625,5298,-1606,5307,-1592,5317,-1592,5317,-1597,5322,-1601,5331,-1606,5346,-1606,5355,-1597,5360,-1597,5365,-1601,5365,-1611,5374,-1621,5384,-1621,5398,-1616,5418,-1616,5427,-1611,5446,-1611,5451,-1606,5451,-1597,5461,-1587,5470,-1597,5475,-1606,5485,-1616,5504,-1625,5518,-1630,5547,-1645,5566,-1664,5571,-1673,5581,-1678,5600,-1678,5619,-1688,5667,-1688,5672,-1693,5667,-1697,5667,-1707,5682,-1707,5686,-1712,5691,-1726,5696,-1750,5701,-1769,5706,-1779,5706,-1784,5710,-1784,5720,-1774,5763,-1774,5773,-1769,5782,-1760,5787,-1741,5787,-1721,5792,-1712,5797,-1712,5797,-1707,5802,-1707,5806,-1712,5806,-1721,5811,-1736,5816,-1769,5821,-1808,5826,-1841,5830,-1904,5850,-1966,5883,-1981,5893,-1985,5907,-2000,5912,-2014,5917,-2024,5917,-2033,5922,-2048,5926,-2053,5960,-2053,5979,-2057,6032,-2057,6051,-2048,6171,-2048,6181,-2057,6186,-2057,6190,-2053,6190,-2048,6195,-2043,6205,-2038,6258,-2038,6267,-2029,6272,-2019,6291,-1995,6310,-1976,6315,-1976,6325,-1981,6334,-1976,6349,-1976,6368,-1971,6378,-1966,6397,-1966,6411,-1952,6421,-1952,6430,-1947,6435,-1942,6435,-1933,6445,-1923,6454,-1923,6469,-1928,6488,-1928,6498,-1933,6507,-1942,6517,-1947,6531,-1952,6536,-1952,6541,-1957,6546,-1957,6550,-1952,6550,-1942,6555,-1928,6560,-1899,6570,-1832,6579,-1803,6622,-1717,6637,-1702,6646,-1673,6656,-1640,6661,-1621,6661,-1597,6666,-1577,6670,-1568,6694,-1568,6714,-1577,6733,-1597,6738,-1616,6738,-1630,6747,-1649,6757,-1654,6800,-1654,6814,-1659,6834,-1664,6848,-1664,6853,-1659,6858,-1659,6862,-1664,6867,-1678,6867,-1702,6872,-1721,6877,-1736,6882,-1741,6886,-1741,6925,-1721,6939,-1721,6954,-1717,6963,-1717,6973,-1721,6982,-1736,6987,-1745,6987,-1760,6997,-1827,7002,-1841,7002,-1851,7006,-1856,7026,-1846,7035,-1846,7064,-1861,7078,-1865,7088,-1870,7098,-1870,7102,-1865,7112,-1865,7122,-1861,7126,-1856,7136,-1856,7150,-1861,7170,-1870,7208,-1885e" filled="false" stroked="true" strokeweight=".12pt" strokecolor="#0000ff">
              <v:path arrowok="t"/>
              <v:stroke dashstyle="dash"/>
            </v:shape>
            <v:shape style="position:absolute;left:4025;top:-3152;width:1695;height:1445" coordorigin="4026,-3152" coordsize="1695,1445" path="m4026,-2504l4030,-2504,4035,-2499,4040,-2499,4045,-2504,4045,-2528,4050,-2561,4050,-2696,4054,-2749,4054,-2859,4059,-2965,4059,-3089,4064,-3118,4064,-3152,4064,-3142,4069,-3128,4069,-2955,4074,-2873,4074,-2725,4078,-2701,4078,-2677,4083,-2677,4093,-2681,4112,-2681,4117,-2657,4117,-2619,4122,-2581,4122,-2533,4126,-2489,4126,-2441,4131,-2403,4131,-2374,4136,-2345,4141,-2321,4150,-2283,4150,-2264,4155,-2245,4155,-2197,4160,-2153,4165,-2139,4165,-2125,4170,-2120,4184,-2134,4194,-2139,4213,-2139,4227,-2144,4237,-2153,4242,-2168,4246,-2187,4246,-2206,4251,-2216,4256,-2216,4270,-2201,4294,-2201,4299,-2197,4309,-2206,4314,-2221,4333,-2245,4338,-2259,4347,-2264,4352,-2264,4357,-2259,4362,-2240,4362,-2211,4366,-2177,4366,-2067,4371,-2033,4371,-2014,4376,-2009,4381,-2009,4386,-2014,4390,-2014,4395,-2009,4395,-2000,4405,-1952,4410,-1942,4410,-1937,4414,-1933,4424,-1937,4501,-1937,4506,-1942,4510,-1937,4520,-1918,4530,-1880,4530,-1865,4534,-1851,4534,-1789,4539,-1774,4539,-1765,4544,-1760,4549,-1765,4563,-1793,4568,-1813,4587,-1851,4592,-1865,4597,-1875,4606,-1875,4611,-1861,4611,-1841,4616,-1837,4616,-1832,4626,-1827,4630,-1832,4630,-1889,4630,-1885,4635,-1880,4635,-1861,4640,-1841,4650,-1822,4659,-1808,4678,-1798,4693,-1789,4702,-1779,4717,-1779,4726,-1774,4731,-1774,4736,-1779,4741,-1789,4750,-1827,4755,-1837,4770,-1837,4779,-1841,4794,-1846,4813,-1851,4822,-1856,4832,-1865,4842,-1865,4842,-1861,4846,-1851,4846,-1832,4851,-1808,4856,-1803,4856,-1798,4861,-1803,4866,-1813,4870,-1827,4875,-1837,4880,-1841,4880,-1846,4885,-1851,4890,-1851,4894,-1837,4899,-1817,4909,-1793,4914,-1769,4923,-1745,4933,-1726,4938,-1712,4942,-1707,4947,-1712,4952,-1726,4952,-1750,4957,-1774,4957,-1822,4962,-1846,4962,-1861,4966,-1885,4971,-1894,4976,-1899,4981,-1899,4990,-1880,5005,-1865,5014,-1861,5024,-1861,5038,-1856,5053,-1856,5062,-1851,5077,-1822,5082,-1817,5086,-1817,5091,-1827,5101,-1841,5106,-1856,5115,-1870,5120,-1880,5125,-1885,5144,-1894,5163,-1899,5178,-1904,5187,-1909,5192,-1913,5197,-1923,5197,-1933,5202,-1933,5206,-1928,5221,-1899,5226,-1894,5245,-1894,5254,-1899,5283,-1928,5298,-1947,5307,-1957,5317,-1961,5322,-1961,5336,-1976,5341,-1976,5346,-1971,5350,-1957,5360,-1937,5365,-1937,5365,-1942,5374,-1942,5379,-1937,5384,-1923,5398,-1899,5418,-1875,5427,-1865,5437,-1875,5442,-1904,5442,-1928,5446,-1937,5446,-1942,5451,-1937,5451,-1918,5456,-1894,5461,-1889,5461,-1885,5466,-1889,5470,-1904,5475,-1913,5480,-1918,5480,-1904,5485,-1889,5485,-1832,5490,-1817,5490,-1808,5494,-1803,5499,-1808,5504,-1817,5514,-1832,5518,-1851,5538,-1889,5542,-1909,5547,-1918,5557,-1942,5566,-1952,5571,-1947,5571,-1933,5576,-1918,5581,-1909,5590,-1904,5600,-1909,5605,-1918,5610,-1937,5614,-1952,5614,-1957,5619,-1957,5629,-1947,5658,-1899,5662,-1889,5667,-1885,5667,-1894,5672,-1909,5682,-1947,5686,-1957,5691,-1957,5701,-1937,5706,-1933,5710,-1933,5715,-1937,5720,-1952e" filled="false" stroked="true" strokeweight=".96pt" strokecolor="#ff0000">
              <v:path arrowok="t"/>
              <v:stroke dashstyle="solid"/>
            </v:shape>
            <v:shape style="position:absolute;left:3747;top:-2835;width:77;height:77" coordorigin="3747,-2835" coordsize="77,77" path="m3786,-2835l3747,-2797,3786,-2758,3824,-2797,3786,-2835xe" filled="true" fillcolor="#000080" stroked="false">
              <v:path arrowok="t"/>
              <v:fill type="solid"/>
            </v:shape>
            <v:shape style="position:absolute;left:3747;top:-2835;width:77;height:77" coordorigin="3747,-2835" coordsize="77,77" path="m3786,-2835l3824,-2797,3786,-2758,3747,-2797,3786,-2835xe" filled="false" stroked="true" strokeweight=".96pt" strokecolor="#000080">
              <v:path arrowok="t"/>
              <v:stroke dashstyle="solid"/>
            </v:shape>
            <v:shape style="position:absolute;left:4784;top:-2562;width:77;height:77" coordorigin="4784,-2561" coordsize="77,77" path="m4822,-2561l4784,-2523,4822,-2485,4861,-2523,4822,-2561xe" filled="true" fillcolor="#000080" stroked="false">
              <v:path arrowok="t"/>
              <v:fill type="solid"/>
            </v:shape>
            <v:shape style="position:absolute;left:4784;top:-2562;width:77;height:77" coordorigin="4784,-2561" coordsize="77,77" path="m4822,-2561l4861,-2523,4822,-2485,4784,-2523,4822,-2561xe" filled="false" stroked="true" strokeweight=".96pt" strokecolor="#000080">
              <v:path arrowok="t"/>
              <v:stroke dashstyle="solid"/>
            </v:shape>
            <v:shape style="position:absolute;left:6339;top:-2269;width:77;height:77" coordorigin="6339,-2269" coordsize="77,77" path="m6378,-2269l6339,-2230,6378,-2192,6416,-2230,6378,-2269xe" filled="true" fillcolor="#000080" stroked="false">
              <v:path arrowok="t"/>
              <v:fill type="solid"/>
            </v:shape>
            <v:shape style="position:absolute;left:6339;top:-2269;width:77;height:77" coordorigin="6339,-2269" coordsize="77,77" path="m6378,-2269l6416,-2230,6378,-2192,6339,-2230,6378,-2269xe" filled="false" stroked="true" strokeweight=".96pt" strokecolor="#000080">
              <v:path arrowok="t"/>
              <v:stroke dashstyle="solid"/>
            </v:shape>
            <v:shape style="position:absolute;left:7894;top:-2139;width:77;height:77" coordorigin="7894,-2139" coordsize="77,77" path="m7933,-2139l7894,-2101,7933,-2062,7971,-2101,7933,-2139xe" filled="true" fillcolor="#000080" stroked="false">
              <v:path arrowok="t"/>
              <v:fill type="solid"/>
            </v:shape>
            <v:shape style="position:absolute;left:7894;top:-2139;width:77;height:77" coordorigin="7894,-2139" coordsize="77,77" path="m7933,-2139l7971,-2101,7933,-2062,7894,-2101,7933,-2139xe" filled="false" stroked="true" strokeweight=".96pt" strokecolor="#000080">
              <v:path arrowok="t"/>
              <v:stroke dashstyle="solid"/>
            </v:shape>
            <v:shape style="position:absolute;left:9449;top:-2082;width:77;height:77" coordorigin="9450,-2081" coordsize="77,77" path="m9488,-2081l9450,-2043,9488,-2005,9526,-2043,9488,-2081xe" filled="true" fillcolor="#000080" stroked="false">
              <v:path arrowok="t"/>
              <v:fill type="solid"/>
            </v:shape>
            <v:shape style="position:absolute;left:9449;top:-2082;width:77;height:77" coordorigin="9450,-2081" coordsize="77,77" path="m9488,-2081l9526,-2043,9488,-2005,9450,-2043,9488,-2081xe" filled="false" stroked="true" strokeweight=".96pt" strokecolor="#000080">
              <v:path arrowok="t"/>
              <v:stroke dashstyle="solid"/>
            </v:shape>
            <v:shape style="position:absolute;left:3756;top:-1957;width:5758;height:99" coordorigin="3757,-1957" coordsize="5758,99" path="m3812,-1942l3757,-1942,3757,-1887,3812,-1887,3812,-1942xm4849,-1942l4794,-1942,4794,-1887,4849,-1887,4849,-1942xm6404,-1928l6349,-1928,6349,-1873,6404,-1873,6404,-1928xm7959,-1913l7904,-1913,7904,-1858,7959,-1858,7959,-1913xm9514,-1957l9459,-1957,9459,-1901,9514,-1901,9514,-1957xe" filled="true" fillcolor="#ff00ff" stroked="false">
              <v:path arrowok="t"/>
              <v:fill type="solid"/>
            </v:shape>
            <v:shape style="position:absolute;left:3747;top:-1482;width:77;height:77" coordorigin="3747,-1481" coordsize="77,77" path="m3786,-1481l3747,-1405,3824,-1405,3786,-1481xe" filled="true" fillcolor="#373799" stroked="false">
              <v:path arrowok="t"/>
              <v:fill type="solid"/>
            </v:shape>
            <v:shape style="position:absolute;left:3747;top:-1482;width:77;height:77" coordorigin="3747,-1481" coordsize="77,77" path="m3786,-1481l3824,-1405,3747,-1405,3786,-1481xe" filled="false" stroked="true" strokeweight=".96pt" strokecolor="#373799">
              <v:path arrowok="t"/>
              <v:stroke dashstyle="solid"/>
            </v:shape>
            <v:shape style="position:absolute;left:4784;top:-1607;width:77;height:77" coordorigin="4784,-1606" coordsize="77,77" path="m4822,-1606l4784,-1529,4861,-1529,4822,-1606xe" filled="true" fillcolor="#373799" stroked="false">
              <v:path arrowok="t"/>
              <v:fill type="solid"/>
            </v:shape>
            <v:shape style="position:absolute;left:4784;top:-1607;width:77;height:77" coordorigin="4784,-1606" coordsize="77,77" path="m4822,-1606l4861,-1529,4784,-1529,4822,-1606xe" filled="false" stroked="true" strokeweight=".96pt" strokecolor="#373799">
              <v:path arrowok="t"/>
              <v:stroke dashstyle="solid"/>
            </v:shape>
            <v:shape style="position:absolute;left:6339;top:-1823;width:77;height:77" coordorigin="6339,-1822" coordsize="77,77" path="m6378,-1822l6339,-1745,6416,-1745,6378,-1822xe" filled="true" fillcolor="#373799" stroked="false">
              <v:path arrowok="t"/>
              <v:fill type="solid"/>
            </v:shape>
            <v:shape style="position:absolute;left:6339;top:-1823;width:77;height:77" coordorigin="6339,-1822" coordsize="77,77" path="m6378,-1822l6416,-1745,6339,-1745,6378,-1822xe" filled="false" stroked="true" strokeweight=".96pt" strokecolor="#373799">
              <v:path arrowok="t"/>
              <v:stroke dashstyle="solid"/>
            </v:shape>
            <v:shape style="position:absolute;left:7894;top:-1794;width:77;height:77" coordorigin="7894,-1793" coordsize="77,77" path="m7933,-1793l7894,-1717,7971,-1717,7933,-1793xe" filled="true" fillcolor="#373799" stroked="false">
              <v:path arrowok="t"/>
              <v:fill type="solid"/>
            </v:shape>
            <v:shape style="position:absolute;left:7894;top:-1794;width:77;height:77" coordorigin="7894,-1793" coordsize="77,77" path="m7933,-1793l7971,-1717,7894,-1717,7933,-1793xe" filled="false" stroked="true" strokeweight=".96pt" strokecolor="#373799">
              <v:path arrowok="t"/>
              <v:stroke dashstyle="solid"/>
            </v:shape>
            <v:shape style="position:absolute;left:9449;top:-1871;width:77;height:77" coordorigin="9450,-1870" coordsize="77,77" path="m9488,-1870l9450,-1793,9526,-1793,9488,-1870xe" filled="true" fillcolor="#373799" stroked="false">
              <v:path arrowok="t"/>
              <v:fill type="solid"/>
            </v:shape>
            <v:shape style="position:absolute;left:9449;top:-1871;width:77;height:77" coordorigin="9450,-1870" coordsize="77,77" path="m9488,-1870l9526,-1793,9450,-1793,9488,-1870xe" filled="false" stroked="true" strokeweight=".96pt" strokecolor="#373799">
              <v:path arrowok="t"/>
              <v:stroke dashstyle="solid"/>
            </v:shape>
            <v:shape style="position:absolute;left:4025;top:-2231;width:1673;height:742" coordorigin="4026,-2230" coordsize="1673,742" path="m4076,-2230l4045,-2230,4045,-2225,4026,-2225,4026,-2218,4057,-2218,4057,-2223,4076,-2223,4076,-2230xm4095,-2187l4064,-2187,4064,-2180,4095,-2180,4095,-2187xm4110,-2173l4078,-2173,4078,-2165,4110,-2165,4110,-2173xm4143,-2177l4112,-2177,4112,-2170,4143,-2170,4143,-2177xm4215,-2009l4196,-2009,4196,-2014,4165,-2014,4165,-2009,4162,-2009,4150,-2009,4131,-2009,4131,-2002,4150,-2002,4162,-2002,4182,-2002,4182,-2007,4184,-2007,4184,-2002,4215,-2002,4215,-2009xm4282,-2014l4268,-2014,4268,-2019,4237,-2019,4237,-2012,4251,-2012,4251,-2007,4282,-2007,4282,-2014xm4316,-1942l4285,-1942,4285,-1937,4270,-1937,4270,-1930,4302,-1930,4302,-1935,4316,-1935,4316,-1942xm4335,-1933l4304,-1933,4304,-1925,4335,-1925,4335,-1933xm4388,-1933l4357,-1933,4357,-1925,4388,-1925,4388,-1933xm4402,-1913l4371,-1913,4371,-1906,4402,-1906,4402,-1913xm4422,-1923l4390,-1923,4390,-1916,4422,-1916,4422,-1923xm4455,-1909l4441,-1909,4424,-1909,4410,-1909,4410,-1901,4424,-1901,4441,-1901,4455,-1901,4455,-1909xm4527,-1904l4508,-1904,4496,-1904,4477,-1904,4477,-1897,4496,-1897,4508,-1897,4527,-1897,4527,-1904xm4542,-1865l4510,-1865,4510,-1858,4542,-1858,4542,-1865xm4561,-1510l4530,-1510,4530,-1503,4561,-1503,4561,-1510xm4575,-1496l4544,-1496,4544,-1489,4575,-1489,4575,-1496xm4628,-1568l4597,-1568,4597,-1561,4628,-1561,4628,-1568xm4681,-1534l4662,-1534,4662,-1539,4630,-1539,4630,-1534,4616,-1534,4616,-1527,4630,-1527,4647,-1527,4650,-1527,4662,-1527,4681,-1527,4681,-1534xm4748,-1544l4734,-1544,4717,-1544,4702,-1544,4702,-1537,4717,-1537,4734,-1537,4748,-1537,4748,-1544xm4801,-1587l4770,-1587,4770,-1582,4767,-1582,4755,-1582,4736,-1582,4736,-1575,4755,-1575,4767,-1575,4786,-1575,4786,-1580,4801,-1580,4801,-1587xm4887,-1582l4873,-1582,4856,-1582,4854,-1582,4854,-1587,4822,-1587,4822,-1580,4842,-1580,4842,-1575,4856,-1575,4873,-1575,4887,-1575,4887,-1582xm4921,-1597l4890,-1597,4890,-1592,4875,-1592,4875,-1585,4906,-1585,4906,-1589,4921,-1589,4921,-1597xm4993,-1592l4974,-1592,4974,-1597,4942,-1597,4942,-1589,4962,-1589,4962,-1585,4993,-1585,4993,-1592xm5026,-1577l5007,-1577,5007,-1582,4976,-1582,4976,-1575,4995,-1575,4995,-1570,5026,-1570,5026,-1577xm5046,-1597l5014,-1597,5014,-1589,5046,-1589,5046,-1597xm5094,-1606l5062,-1606,5062,-1599,5094,-1599,5094,-1606xm5113,-1669l5082,-1669,5082,-1661,5113,-1661,5113,-1669xm5166,-1678l5146,-1678,5134,-1678,5132,-1678,5115,-1678,5101,-1678,5101,-1671,5115,-1671,5132,-1671,5134,-1671,5146,-1671,5166,-1671,5166,-1678xm5218,-1673l5187,-1673,5187,-1666,5218,-1666,5218,-1673xm5252,-1683l5233,-1683,5221,-1683,5202,-1683,5202,-1676,5221,-1676,5233,-1676,5252,-1676,5252,-1683xm5286,-1664l5266,-1664,5254,-1664,5235,-1664,5235,-1657,5254,-1657,5266,-1657,5286,-1657,5286,-1664xm5338,-1597l5307,-1597,5307,-1589,5338,-1589,5338,-1597xm5372,-1611l5341,-1611,5341,-1606,5322,-1606,5322,-1599,5353,-1599,5353,-1604,5372,-1604,5372,-1611xm5391,-1601l5360,-1601,5360,-1594,5391,-1594,5391,-1601xm5406,-1625l5374,-1625,5374,-1618,5406,-1618,5406,-1625xm5478,-1616l5458,-1616,5446,-1616,5427,-1616,5427,-1609,5446,-1609,5458,-1609,5478,-1609,5478,-1616xm5492,-1592l5461,-1592,5461,-1585,5492,-1585,5492,-1592xm5511,-1616l5480,-1616,5480,-1609,5511,-1609,5511,-1616xm5526,-1625l5494,-1625,5494,-1618,5526,-1618,5526,-1625xm5578,-1649l5547,-1649,5547,-1642,5578,-1642,5578,-1649xm5598,-1669l5566,-1669,5566,-1661,5598,-1661,5598,-1669xm5631,-1683l5612,-1683,5600,-1683,5581,-1683,5581,-1676,5600,-1676,5612,-1676,5631,-1676,5631,-1683xm5650,-1693l5619,-1693,5619,-1685,5650,-1685,5650,-1693xm5698,-1693l5667,-1693,5667,-1685,5698,-1685,5698,-1693xm5698,-1712l5667,-1712,5667,-1705,5698,-1705,5698,-1712xe" filled="true" fillcolor="#0000ff" stroked="false">
              <v:path arrowok="t"/>
              <v:fill type="solid"/>
            </v:shape>
            <v:shape style="position:absolute;left:5667;top:-2063;width:1572;height:497" coordorigin="5667,-2062" coordsize="1572,497" path="m5718,-1717l5686,-1717,5686,-1712,5667,-1712,5667,-1705,5698,-1705,5698,-1709,5718,-1709,5718,-1717xm5737,-1789l5706,-1789,5706,-1781,5737,-1781,5737,-1789xm5751,-1779l5720,-1779,5720,-1772,5751,-1772,5751,-1779xm5804,-1774l5773,-1774,5773,-1767,5804,-1767,5804,-1774xm5838,-1717l5823,-1717,5806,-1717,5792,-1717,5792,-1709,5806,-1709,5823,-1709,5838,-1709,5838,-1717xm5857,-1846l5826,-1846,5826,-1839,5857,-1839,5857,-1846xm5871,-1957l5840,-1957,5840,-1949,5871,-1949,5871,-1957xm5924,-1990l5893,-1990,5893,-1983,5924,-1983,5924,-1990xm5943,-2019l5912,-2019,5912,-2012,5943,-2012,5943,-2019xm5977,-2057l5958,-2057,5946,-2057,5926,-2057,5926,-2050,5946,-2050,5958,-2050,5977,-2050,5977,-2057xm6063,-2062l6044,-2062,6032,-2062,6013,-2062,6013,-2055,6032,-2055,6044,-2055,6063,-2055,6063,-2062xm6116,-2053l6097,-2053,6085,-2053,6082,-2053,6066,-2053,6051,-2053,6051,-2045,6066,-2045,6082,-2045,6085,-2045,6097,-2045,6116,-2045,6116,-2053xm6202,-2053l6183,-2053,6171,-2053,6169,-2053,6152,-2053,6138,-2053,6138,-2045,6152,-2045,6169,-2045,6171,-2045,6183,-2045,6202,-2045,6202,-2053xm6217,-2062l6186,-2062,6186,-2055,6217,-2055,6217,-2062xm6236,-2043l6205,-2043,6205,-2036,6236,-2036,6236,-2043xm6289,-2043l6258,-2043,6258,-2036,6289,-2036,6289,-2043xm6303,-2024l6272,-2024,6272,-2017,6303,-2017,6303,-2024xm6322,-2000l6291,-2000,6291,-1993,6322,-1993,6322,-2000xm6356,-1985l6325,-1985,6325,-1981,6310,-1981,6310,-1973,6342,-1973,6342,-1978,6356,-1978,6356,-1985xm6428,-1971l6409,-1971,6397,-1971,6378,-1971,6378,-1964,6397,-1964,6409,-1964,6428,-1964,6428,-1971xm6462,-1952l6442,-1952,6442,-1957,6411,-1957,6411,-1949,6430,-1949,6430,-1945,6462,-1945,6462,-1952xm6476,-1928l6445,-1928,6445,-1921,6476,-1921,6476,-1928xm6529,-1937l6498,-1937,6498,-1930,6529,-1930,6529,-1937xm6582,-1957l6562,-1957,6550,-1957,6531,-1957,6531,-1952,6517,-1952,6517,-1945,6548,-1945,6548,-1949,6550,-1949,6562,-1949,6582,-1949,6582,-1957xm6601,-1837l6570,-1837,6570,-1829,6601,-1829,6601,-1837xm6649,-1731l6618,-1731,6618,-1724,6649,-1724,6649,-1731xm6668,-1707l6637,-1707,6637,-1700,6668,-1700,6668,-1707xm6687,-1645l6656,-1645,6656,-1637,6687,-1637,6687,-1645xm6702,-1573l6670,-1573,6670,-1565,6702,-1565,6702,-1573xm6754,-1592l6723,-1592,6723,-1585,6754,-1585,6754,-1592xm6774,-1645l6742,-1645,6742,-1637,6774,-1637,6774,-1645xm6822,-1659l6807,-1659,6790,-1659,6788,-1659,6776,-1659,6757,-1659,6757,-1652,6776,-1652,6788,-1652,6790,-1652,6807,-1652,6822,-1652,6822,-1659xm6894,-1669l6874,-1669,6862,-1669,6843,-1669,6843,-1661,6862,-1661,6874,-1661,6894,-1661,6894,-1669xm6927,-1741l6908,-1741,6896,-1741,6877,-1741,6877,-1733,6896,-1733,6908,-1733,6927,-1733,6927,-1741xm6946,-1731l6915,-1731,6915,-1724,6946,-1724,6946,-1731xm6994,-1721l6963,-1721,6963,-1714,6994,-1714,6994,-1721xm7014,-1741l6982,-1741,6982,-1733,7014,-1733,7014,-1741xm7066,-1851l7047,-1851,7047,-1856,7033,-1856,7016,-1856,7002,-1856,7002,-1849,7016,-1849,7033,-1849,7035,-1849,7035,-1844,7066,-1844,7066,-1851xm7167,-1861l7153,-1861,7153,-1865,7134,-1865,7134,-1870,7119,-1870,7119,-1875,7088,-1875,7088,-1868,7102,-1868,7102,-1863,7122,-1863,7122,-1858,7136,-1858,7136,-1853,7167,-1853,7167,-1861xm7239,-1889l7208,-1889,7208,-1882,7239,-1882,7239,-1889xe" filled="true" fillcolor="#0000ff" stroked="false">
              <v:path arrowok="t"/>
              <v:fill type="solid"/>
            </v:shape>
            <v:shape style="position:absolute;left:4016;top:-2533;width:20;height:58" coordorigin="4016,-2533" coordsize="20,58" path="m4035,-2533l4016,-2533,4016,-2504,4016,-2475,4035,-2475,4035,-2504,4035,-2533xe" filled="true" fillcolor="#ff0000" stroked="false">
              <v:path arrowok="t"/>
              <v:fill type="solid"/>
            </v:shape>
            <v:line style="position:absolute" from="4026,-2504" to="3997,-2504" stroked="true" strokeweight=".96pt" strokecolor="#ff0000">
              <v:stroke dashstyle="solid"/>
            </v:line>
            <v:shape style="position:absolute;left:4016;top:-2533;width:39;height:58" coordorigin="4016,-2533" coordsize="39,58" path="m4054,-2533l4035,-2533,4035,-2513,4026,-2513,4016,-2513,4016,-2494,4026,-2494,4035,-2494,4035,-2475,4054,-2475,4054,-2494,4054,-2504,4054,-2513,4054,-2533xe" filled="true" fillcolor="#ff0000" stroked="false">
              <v:path arrowok="t"/>
              <v:fill type="solid"/>
            </v:shape>
            <v:line style="position:absolute" from="4045,-2504" to="4074,-2504" stroked="true" strokeweight=".96pt" strokecolor="#ff0000">
              <v:stroke dashstyle="solid"/>
            </v:line>
            <v:shape style="position:absolute;left:4054;top:-3181;width:20;height:58" coordorigin="4054,-3181" coordsize="20,58" path="m4074,-3181l4054,-3181,4054,-3152,4054,-3123,4074,-3123,4074,-3152,4074,-3181xe" filled="true" fillcolor="#ff0000" stroked="false">
              <v:path arrowok="t"/>
              <v:fill type="solid"/>
            </v:shape>
            <v:shape style="position:absolute;left:4035;top:-3152;width:58;height:2" coordorigin="4035,-3152" coordsize="58,0" path="m4064,-3152l4035,-3152m4064,-3152l4093,-3152e" filled="false" stroked="true" strokeweight=".96pt" strokecolor="#ff0000">
              <v:path arrowok="t"/>
              <v:stroke dashstyle="solid"/>
            </v:shape>
            <v:shape style="position:absolute;left:4068;top:-2711;width:20;height:58" coordorigin="4069,-2710" coordsize="20,58" path="m4088,-2710l4069,-2710,4069,-2681,4069,-2653,4088,-2653,4088,-2681,4088,-2710xe" filled="true" fillcolor="#ff0000" stroked="false">
              <v:path arrowok="t"/>
              <v:fill type="solid"/>
            </v:shape>
            <v:line style="position:absolute" from="4078,-2681" to="4050,-2681" stroked="true" strokeweight=".96pt" strokecolor="#ff0000">
              <v:stroke dashstyle="solid"/>
            </v:line>
            <v:shape style="position:absolute;left:4078;top:-2711;width:44;height:58" coordorigin="4078,-2710" coordsize="44,58" path="m4122,-2710l4102,-2710,4102,-2691,4083,-2691,4078,-2691,4078,-2672,4083,-2672,4102,-2672,4102,-2653,4122,-2653,4122,-2681,4122,-2710xe" filled="true" fillcolor="#ff0000" stroked="false">
              <v:path arrowok="t"/>
              <v:fill type="solid"/>
            </v:shape>
            <v:line style="position:absolute" from="4112,-2681" to="4141,-2681" stroked="true" strokeweight=".96pt" strokecolor="#ff0000">
              <v:stroke dashstyle="solid"/>
            </v:line>
            <v:shape style="position:absolute;left:4121;top:-2403;width:20;height:58" coordorigin="4122,-2403" coordsize="20,58" path="m4141,-2403l4122,-2403,4122,-2374,4122,-2345,4141,-2345,4141,-2374,4141,-2403xe" filled="true" fillcolor="#ff0000" stroked="false">
              <v:path arrowok="t"/>
              <v:fill type="solid"/>
            </v:shape>
            <v:shape style="position:absolute;left:4102;top:-2375;width:58;height:2" coordorigin="4102,-2374" coordsize="58,0" path="m4131,-2374l4102,-2374m4131,-2374l4160,-2374e" filled="false" stroked="true" strokeweight=".96pt" strokecolor="#ff0000">
              <v:path arrowok="t"/>
              <v:stroke dashstyle="solid"/>
            </v:shape>
            <v:shape style="position:absolute;left:4140;top:-2312;width:20;height:58" coordorigin="4141,-2312" coordsize="20,58" path="m4160,-2312l4141,-2312,4141,-2283,4141,-2254,4160,-2254,4160,-2283,4160,-2312xe" filled="true" fillcolor="#ff0000" stroked="false">
              <v:path arrowok="t"/>
              <v:fill type="solid"/>
            </v:shape>
            <v:shape style="position:absolute;left:4121;top:-2283;width:58;height:2" coordorigin="4122,-2283" coordsize="58,0" path="m4150,-2283l4122,-2283m4150,-2283l4179,-2283e" filled="false" stroked="true" strokeweight=".96pt" strokecolor="#ff0000">
              <v:path arrowok="t"/>
              <v:stroke dashstyle="solid"/>
            </v:shape>
            <v:shape style="position:absolute;left:4155;top:-2154;width:20;height:58" coordorigin="4155,-2153" coordsize="20,58" path="m4174,-2153l4155,-2153,4155,-2125,4155,-2096,4174,-2096,4174,-2125,4174,-2153xe" filled="true" fillcolor="#ff0000" stroked="false">
              <v:path arrowok="t"/>
              <v:fill type="solid"/>
            </v:shape>
            <v:line style="position:absolute" from="4165,-2125" to="4136,-2125" stroked="true" strokeweight=".96pt" strokecolor="#ff0000">
              <v:stroke dashstyle="solid"/>
            </v:line>
            <v:shape style="position:absolute;left:4155;top:-2163;width:39;height:58" coordorigin="4155,-2163" coordsize="39,58" path="m4194,-2134l4194,-2163,4174,-2163,4174,-2144,4155,-2144,4155,-2125,4165,-2125,4165,-2115,4174,-2115,4174,-2105,4194,-2105,4194,-2115,4194,-2134xe" filled="true" fillcolor="#ff0000" stroked="false">
              <v:path arrowok="t"/>
              <v:fill type="solid"/>
            </v:shape>
            <v:line style="position:absolute" from="4184,-2134" to="4213,-2134" stroked="true" strokeweight=".96pt" strokecolor="#ff0000">
              <v:stroke dashstyle="solid"/>
            </v:line>
            <v:shape style="position:absolute;left:4227;top:-2183;width:20;height:58" coordorigin="4227,-2182" coordsize="20,58" path="m4246,-2182l4227,-2182,4227,-2153,4227,-2125,4246,-2125,4246,-2153,4246,-2182xe" filled="true" fillcolor="#ff0000" stroked="false">
              <v:path arrowok="t"/>
              <v:fill type="solid"/>
            </v:shape>
            <v:shape style="position:absolute;left:4208;top:-2154;width:58;height:2" coordorigin="4208,-2153" coordsize="58,0" path="m4237,-2153l4208,-2153m4237,-2153l4266,-2153e" filled="false" stroked="true" strokeweight=".96pt" strokecolor="#ff0000">
              <v:path arrowok="t"/>
              <v:stroke dashstyle="solid"/>
            </v:shape>
            <v:shape style="position:absolute;left:4241;top:-2245;width:20;height:58" coordorigin="4242,-2245" coordsize="20,58" path="m4261,-2245l4242,-2245,4242,-2216,4242,-2187,4261,-2187,4261,-2216,4261,-2245xe" filled="true" fillcolor="#ff0000" stroked="false">
              <v:path arrowok="t"/>
              <v:fill type="solid"/>
            </v:shape>
            <v:line style="position:absolute" from="4251,-2216" to="4222,-2216" stroked="true" strokeweight=".96pt" strokecolor="#ff0000">
              <v:stroke dashstyle="solid"/>
            </v:line>
            <v:shape style="position:absolute;left:4241;top:-2231;width:72;height:58" coordorigin="4242,-2230" coordsize="72,58" path="m4314,-2211l4314,-2230,4294,-2230,4280,-2230,4275,-2230,4261,-2230,4261,-2225,4251,-2225,4251,-2211,4242,-2211,4242,-2192,4256,-2192,4261,-2192,4261,-2173,4275,-2173,4280,-2173,4294,-2173,4314,-2173,4314,-2192,4314,-2211xe" filled="true" fillcolor="#ff0000" stroked="false">
              <v:path arrowok="t"/>
              <v:fill type="solid"/>
            </v:shape>
            <v:line style="position:absolute" from="4304,-2201" to="4333,-2201" stroked="true" strokeweight=".96pt" strokecolor="#ff0000">
              <v:stroke dashstyle="solid"/>
            </v:line>
            <v:shape style="position:absolute;left:4347;top:-2288;width:20;height:58" coordorigin="4347,-2288" coordsize="20,58" path="m4366,-2288l4347,-2288,4347,-2259,4347,-2230,4366,-2230,4366,-2259,4366,-2288xe" filled="true" fillcolor="#ff0000" stroked="false">
              <v:path arrowok="t"/>
              <v:fill type="solid"/>
            </v:shape>
            <v:shape style="position:absolute;left:4328;top:-2259;width:58;height:2" coordorigin="4328,-2259" coordsize="58,0" path="m4357,-2259l4328,-2259m4357,-2259l4386,-2259e" filled="false" stroked="true" strokeweight=".96pt" strokecolor="#ff0000">
              <v:path arrowok="t"/>
              <v:stroke dashstyle="solid"/>
            </v:shape>
            <v:shape style="position:absolute;left:4361;top:-2043;width:20;height:58" coordorigin="4362,-2043" coordsize="20,58" path="m4381,-2043l4362,-2043,4362,-2014,4362,-1985,4381,-1985,4381,-2014,4381,-2043xe" filled="true" fillcolor="#ff0000" stroked="false">
              <v:path arrowok="t"/>
              <v:fill type="solid"/>
            </v:shape>
            <v:line style="position:absolute" from="4371,-2014" to="4342,-2014" stroked="true" strokeweight=".96pt" strokecolor="#ff0000">
              <v:stroke dashstyle="solid"/>
            </v:line>
            <v:shape style="position:absolute;left:4361;top:-2043;width:39;height:58" coordorigin="4362,-2043" coordsize="39,58" path="m4400,-2024l4400,-2043,4381,-2043,4381,-2024,4371,-2024,4362,-2024,4362,-2005,4371,-2005,4381,-2005,4381,-1985,4400,-1985,4400,-2005,4400,-2024xe" filled="true" fillcolor="#ff0000" stroked="false">
              <v:path arrowok="t"/>
              <v:fill type="solid"/>
            </v:shape>
            <v:line style="position:absolute" from="4390,-2014" to="4419,-2014" stroked="true" strokeweight=".96pt" strokecolor="#ff0000">
              <v:stroke dashstyle="solid"/>
            </v:line>
            <v:shape style="position:absolute;left:4380;top:-1967;width:106;height:58" coordorigin="4381,-1966" coordsize="106,58" path="m4453,-1947l4438,-1947,4434,-1947,4434,-1966,4419,-1966,4414,-1966,4400,-1966,4400,-1947,4395,-1947,4381,-1947,4381,-1928,4395,-1928,4400,-1928,4400,-1909,4414,-1909,4419,-1909,4434,-1909,4434,-1928,4438,-1928,4453,-1928,4453,-1947xm4486,-1966l4467,-1966,4467,-1937,4467,-1909,4486,-1909,4486,-1937,4486,-1966xe" filled="true" fillcolor="#ff0000" stroked="false">
              <v:path arrowok="t"/>
              <v:fill type="solid"/>
            </v:shape>
            <v:line style="position:absolute" from="4477,-1937" to="4448,-1937" stroked="true" strokeweight=".96pt" strokecolor="#ff0000">
              <v:stroke dashstyle="solid"/>
            </v:line>
            <v:shape style="position:absolute;left:4467;top:-1967;width:72;height:116" coordorigin="4467,-1966" coordsize="72,116" path="m4539,-1909l4520,-1909,4520,-1880,4520,-1851,4539,-1851,4539,-1880,4539,-1909xm4539,-1947l4525,-1947,4520,-1947,4520,-1966,4506,-1966,4501,-1966,4486,-1966,4486,-1947,4482,-1947,4477,-1947,4467,-1947,4467,-1928,4477,-1928,4482,-1928,4486,-1928,4486,-1909,4501,-1909,4506,-1909,4520,-1909,4520,-1928,4525,-1928,4539,-1928,4539,-1947xe" filled="true" fillcolor="#ff0000" stroked="false">
              <v:path arrowok="t"/>
              <v:fill type="solid"/>
            </v:shape>
            <v:shape style="position:absolute;left:4500;top:-1880;width:58;height:2" coordorigin="4501,-1880" coordsize="58,0" path="m4530,-1880l4501,-1880m4530,-1880l4558,-1880e" filled="false" stroked="true" strokeweight=".96pt" strokecolor="#ff0000">
              <v:path arrowok="t"/>
              <v:stroke dashstyle="solid"/>
            </v:shape>
            <v:shape style="position:absolute;left:4534;top:-1789;width:20;height:58" coordorigin="4534,-1789" coordsize="20,58" path="m4554,-1789l4534,-1789,4534,-1760,4534,-1731,4554,-1731,4554,-1760,4554,-1789xe" filled="true" fillcolor="#ff0000" stroked="false">
              <v:path arrowok="t"/>
              <v:fill type="solid"/>
            </v:shape>
            <v:shape style="position:absolute;left:4515;top:-1760;width:58;height:2" coordorigin="4515,-1760" coordsize="58,0" path="m4544,-1760l4515,-1760m4544,-1760l4573,-1760e" filled="false" stroked="true" strokeweight=".96pt" strokecolor="#ff0000">
              <v:path arrowok="t"/>
              <v:stroke dashstyle="solid"/>
            </v:shape>
            <v:shape style="position:absolute;left:4587;top:-1904;width:20;height:58" coordorigin="4587,-1904" coordsize="20,58" path="m4606,-1904l4587,-1904,4587,-1875,4587,-1846,4606,-1846,4606,-1875,4606,-1904xe" filled="true" fillcolor="#ff0000" stroked="false">
              <v:path arrowok="t"/>
              <v:fill type="solid"/>
            </v:shape>
            <v:line style="position:absolute" from="4597,-1875" to="4568,-1875" stroked="true" strokeweight=".96pt" strokecolor="#ff0000">
              <v:stroke dashstyle="solid"/>
            </v:line>
            <v:shape style="position:absolute;left:4587;top:-1919;width:72;height:116" coordorigin="4587,-1918" coordsize="72,116" path="m4659,-1841l4645,-1841,4640,-1841,4640,-1861,4640,-1889,4640,-1918,4621,-1918,4621,-1899,4602,-1899,4602,-1885,4597,-1885,4597,-1865,4621,-1865,4621,-1861,4606,-1861,4606,-1841,4602,-1841,4587,-1841,4587,-1822,4602,-1822,4606,-1822,4606,-1803,4621,-1803,4626,-1803,4640,-1803,4640,-1822,4645,-1822,4659,-1822,4659,-1841xe" filled="true" fillcolor="#ff0000" stroked="false">
              <v:path arrowok="t"/>
              <v:fill type="solid"/>
            </v:shape>
            <v:line style="position:absolute" from="4630,-1889" to="4659,-1889" stroked="true" strokeweight=".96pt" strokecolor="#ff0000">
              <v:stroke dashstyle="solid"/>
            </v:line>
            <v:shape style="position:absolute;left:4620;top:-1851;width:39;height:58" coordorigin="4621,-1851" coordsize="39,58" path="m4659,-1851l4640,-1851,4640,-1832,4621,-1832,4621,-1813,4640,-1813,4640,-1793,4659,-1793,4659,-1822,4659,-1851xe" filled="true" fillcolor="#ff0000" stroked="false">
              <v:path arrowok="t"/>
              <v:fill type="solid"/>
            </v:shape>
            <v:line style="position:absolute" from="4650,-1822" to="4678,-1822" stroked="true" strokeweight=".96pt" strokecolor="#ff0000">
              <v:stroke dashstyle="solid"/>
            </v:line>
            <v:shape style="position:absolute;left:4673;top:-1808;width:72;height:58" coordorigin="4674,-1808" coordsize="72,58" path="m4746,-1789l4746,-1808,4726,-1808,4712,-1808,4707,-1808,4693,-1808,4693,-1789,4688,-1789,4674,-1789,4674,-1769,4688,-1769,4693,-1769,4693,-1750,4707,-1750,4712,-1750,4726,-1750,4746,-1750,4746,-1769,4746,-1789xe" filled="true" fillcolor="#ff0000" stroked="false">
              <v:path arrowok="t"/>
              <v:fill type="solid"/>
            </v:shape>
            <v:line style="position:absolute" from="4736,-1779" to="4765,-1779" stroked="true" strokeweight=".96pt" strokecolor="#ff0000">
              <v:stroke dashstyle="solid"/>
            </v:line>
            <v:shape style="position:absolute;left:4726;top:-1885;width:106;height:77" coordorigin="4726,-1885" coordsize="106,77" path="m4798,-1846l4784,-1846,4779,-1846,4779,-1865,4765,-1865,4760,-1865,4746,-1865,4746,-1846,4741,-1846,4726,-1846,4726,-1827,4741,-1827,4746,-1827,4746,-1808,4760,-1808,4765,-1808,4779,-1808,4779,-1827,4784,-1827,4798,-1827,4798,-1846xm4832,-1885l4813,-1885,4813,-1856,4813,-1827,4832,-1827,4832,-1856,4832,-1885xe" filled="true" fillcolor="#ff0000" stroked="false">
              <v:path arrowok="t"/>
              <v:fill type="solid"/>
            </v:shape>
            <v:line style="position:absolute" from="4822,-1856" to="4794,-1856" stroked="true" strokeweight=".96pt" strokecolor="#ff0000">
              <v:stroke dashstyle="solid"/>
            </v:line>
            <v:shape style="position:absolute;left:4812;top:-1895;width:39;height:58" coordorigin="4813,-1894" coordsize="39,58" path="m4851,-1865l4851,-1894,4832,-1894,4832,-1875,4813,-1875,4813,-1856,4822,-1856,4822,-1846,4832,-1846,4832,-1837,4851,-1837,4851,-1846,4851,-1865xe" filled="true" fillcolor="#ff0000" stroked="false">
              <v:path arrowok="t"/>
              <v:fill type="solid"/>
            </v:shape>
            <v:line style="position:absolute" from="4842,-1865" to="4870,-1865" stroked="true" strokeweight=".96pt" strokecolor="#ff0000">
              <v:stroke dashstyle="solid"/>
            </v:line>
            <v:shape style="position:absolute;left:4846;top:-1827;width:20;height:58" coordorigin="4846,-1827" coordsize="20,58" path="m4866,-1827l4846,-1827,4846,-1798,4846,-1769,4866,-1769,4866,-1798,4866,-1827xe" filled="true" fillcolor="#ff0000" stroked="false">
              <v:path arrowok="t"/>
              <v:fill type="solid"/>
            </v:shape>
            <v:line style="position:absolute" from="4856,-1798" to="4827,-1798" stroked="true" strokeweight=".96pt" strokecolor="#ff0000">
              <v:stroke dashstyle="solid"/>
            </v:line>
            <v:shape style="position:absolute;left:4846;top:-1880;width:106;height:202" coordorigin="4846,-1880" coordsize="106,202" path="m4885,-1808l4856,-1808,4856,-1789,4885,-1789,4885,-1808xm4918,-1861l4899,-1861,4899,-1880,4880,-1880,4880,-1865,4866,-1865,4866,-1861,4861,-1861,4861,-1846,4846,-1846,4846,-1827,4866,-1827,4866,-1808,4885,-1808,4885,-1822,4899,-1822,4899,-1827,4904,-1827,4904,-1841,4918,-1841,4918,-1861xm4952,-1736l4933,-1736,4933,-1707,4933,-1678,4952,-1678,4952,-1707,4952,-1736xe" filled="true" fillcolor="#ff0000" stroked="false">
              <v:path arrowok="t"/>
              <v:fill type="solid"/>
            </v:shape>
            <v:shape style="position:absolute;left:4913;top:-1707;width:58;height:2" coordorigin="4914,-1707" coordsize="58,0" path="m4942,-1707l4914,-1707m4942,-1707l4971,-1707e" filled="false" stroked="true" strokeweight=".96pt" strokecolor="#ff0000">
              <v:path arrowok="t"/>
              <v:stroke dashstyle="solid"/>
            </v:shape>
            <v:shape style="position:absolute;left:4952;top:-1890;width:20;height:58" coordorigin="4952,-1889" coordsize="20,58" path="m4971,-1889l4952,-1889,4952,-1861,4952,-1832,4971,-1832,4971,-1861,4971,-1889xe" filled="true" fillcolor="#ff0000" stroked="false">
              <v:path arrowok="t"/>
              <v:fill type="solid"/>
            </v:shape>
            <v:line style="position:absolute" from="4962,-1861" to="4933,-1861" stroked="true" strokeweight=".96pt" strokecolor="#ff0000">
              <v:stroke dashstyle="solid"/>
            </v:line>
            <v:shape style="position:absolute;left:4947;top:-1928;width:77;height:96" coordorigin="4947,-1928" coordsize="77,96" path="m5024,-1889l5005,-1889,5005,-1904,5005,-1909,4986,-1909,4986,-1889,4986,-1885,4986,-1889,4986,-1909,4986,-1928,4966,-1928,4966,-1909,4947,-1909,4947,-1889,4966,-1889,4966,-1885,4966,-1870,4962,-1870,4962,-1851,4986,-1851,4986,-1846,5005,-1846,5005,-1832,5024,-1832,5024,-1861,5024,-1865,5024,-1885,5024,-1889xe" filled="true" fillcolor="#ff0000" stroked="false">
              <v:path arrowok="t"/>
              <v:fill type="solid"/>
            </v:shape>
            <v:line style="position:absolute" from="5014,-1861" to="5043,-1861" stroked="true" strokeweight=".96pt" strokecolor="#ff0000">
              <v:stroke dashstyle="solid"/>
            </v:line>
            <v:shape style="position:absolute;left:5052;top:-1880;width:20;height:58" coordorigin="5053,-1880" coordsize="20,58" path="m5072,-1880l5053,-1880,5053,-1851,5053,-1822,5072,-1822,5072,-1851,5072,-1880xe" filled="true" fillcolor="#ff0000" stroked="false">
              <v:path arrowok="t"/>
              <v:fill type="solid"/>
            </v:shape>
            <v:line style="position:absolute" from="5062,-1851" to="5034,-1851" stroked="true" strokeweight=".96pt" strokecolor="#ff0000">
              <v:stroke dashstyle="solid"/>
            </v:line>
            <v:shape style="position:absolute;left:5052;top:-1919;width:92;height:130" coordorigin="5053,-1918" coordsize="92,130" path="m5144,-1918l5125,-1918,5125,-1899,5106,-1899,5106,-1880,5091,-1880,5091,-1832,5091,-1827,5091,-1832,5091,-1880,5086,-1880,5086,-1861,5062,-1861,5062,-1841,5072,-1841,5072,-1832,5072,-1827,5053,-1827,5053,-1808,5072,-1808,5072,-1789,5091,-1789,5091,-1808,5110,-1808,5110,-1813,5110,-1827,5110,-1832,5130,-1832,5130,-1851,5125,-1851,5125,-1861,5144,-1861,5144,-1880,5144,-1889,5144,-1918xe" filled="true" fillcolor="#ff0000" stroked="false">
              <v:path arrowok="t"/>
              <v:fill type="solid"/>
            </v:shape>
            <v:line style="position:absolute" from="5134,-1889" to="5163,-1889" stroked="true" strokeweight=".96pt" strokecolor="#ff0000">
              <v:stroke dashstyle="solid"/>
            </v:line>
            <v:shape style="position:absolute;left:5158;top:-1962;width:106;height:96" coordorigin="5158,-1961" coordsize="106,96" path="m5264,-1928l5245,-1928,5245,-1923,5230,-1923,5230,-1928,5230,-1942,5211,-1942,5211,-1961,5192,-1961,5192,-1942,5173,-1942,5173,-1923,5178,-1923,5178,-1918,5158,-1918,5158,-1899,5178,-1899,5178,-1880,5197,-1880,5197,-1889,5206,-1889,5206,-1885,5211,-1885,5211,-1870,5226,-1870,5226,-1865,5245,-1865,5245,-1870,5264,-1870,5264,-1885,5264,-1899,5264,-1904,5264,-1928xe" filled="true" fillcolor="#ff0000" stroked="false">
              <v:path arrowok="t"/>
              <v:fill type="solid"/>
            </v:shape>
            <v:line style="position:absolute" from="5254,-1899" to="5283,-1899" stroked="true" strokeweight=".96pt" strokecolor="#ff0000">
              <v:stroke dashstyle="solid"/>
            </v:line>
            <v:shape style="position:absolute;left:5278;top:-2005;width:159;height:168" coordorigin="5278,-2005" coordsize="159,168" path="m5403,-1952l5384,-1952,5384,-1971,5370,-1971,5370,-1985,5350,-1985,5350,-2005,5331,-2005,5331,-1990,5312,-1990,5312,-1985,5298,-1985,5298,-1971,5293,-1971,5293,-1966,5278,-1966,5278,-1947,5298,-1947,5298,-1928,5317,-1928,5317,-1933,5331,-1933,5331,-1928,5350,-1928,5350,-1909,5370,-1909,5370,-1913,5384,-1913,5384,-1928,5389,-1928,5389,-1933,5403,-1933,5403,-1952xm5437,-1894l5418,-1894,5418,-1865,5418,-1837,5437,-1837,5437,-1865,5437,-1894xe" filled="true" fillcolor="#ff0000" stroked="false">
              <v:path arrowok="t"/>
              <v:fill type="solid"/>
            </v:shape>
            <v:line style="position:absolute" from="5427,-1865" to="5398,-1865" stroked="true" strokeweight=".96pt" strokecolor="#ff0000">
              <v:stroke dashstyle="solid"/>
            </v:line>
            <v:shape style="position:absolute;left:5427;top:-1971;width:29;height:116" coordorigin="5427,-1971" coordsize="29,116" path="m5456,-1875l5427,-1875,5427,-1856,5456,-1856,5456,-1875xm5456,-1971l5437,-1971,5437,-1942,5437,-1913,5456,-1913,5456,-1942,5456,-1971xe" filled="true" fillcolor="#ff0000" stroked="false">
              <v:path arrowok="t"/>
              <v:fill type="solid"/>
            </v:shape>
            <v:shape style="position:absolute;left:5417;top:-1943;width:58;height:2" coordorigin="5418,-1942" coordsize="58,0" path="m5446,-1942l5418,-1942m5446,-1942l5475,-1942e" filled="false" stroked="true" strokeweight=".96pt" strokecolor="#ff0000">
              <v:path arrowok="t"/>
              <v:stroke dashstyle="solid"/>
            </v:shape>
            <v:shape style="position:absolute;left:5432;top:-1943;width:58;height:87" coordorigin="5432,-1942" coordsize="58,87" path="m5490,-1942l5470,-1942,5470,-1923,5451,-1923,5451,-1913,5451,-1904,5451,-1894,5432,-1894,5432,-1875,5451,-1875,5451,-1856,5470,-1856,5470,-1875,5490,-1875,5490,-1885,5490,-1894,5490,-1913,5490,-1942xe" filled="true" fillcolor="#ff0000" stroked="false">
              <v:path arrowok="t"/>
              <v:fill type="solid"/>
            </v:shape>
            <v:line style="position:absolute" from="5480,-1913" to="5509,-1913" stroked="true" strokeweight=".96pt" strokecolor="#ff0000">
              <v:stroke dashstyle="solid"/>
            </v:line>
            <v:shape style="position:absolute;left:5484;top:-1832;width:20;height:58" coordorigin="5485,-1832" coordsize="20,58" path="m5504,-1832l5485,-1832,5485,-1803,5485,-1774,5504,-1774,5504,-1803,5504,-1832xe" filled="true" fillcolor="#ff0000" stroked="false">
              <v:path arrowok="t"/>
              <v:fill type="solid"/>
            </v:shape>
            <v:shape style="position:absolute;left:5465;top:-1803;width:58;height:2" coordorigin="5466,-1803" coordsize="58,0" path="m5494,-1803l5466,-1803m5494,-1803l5523,-1803e" filled="false" stroked="true" strokeweight=".96pt" strokecolor="#ff0000">
              <v:path arrowok="t"/>
              <v:stroke dashstyle="solid"/>
            </v:shape>
            <v:shape style="position:absolute;left:5537;top:-1947;width:20;height:58" coordorigin="5538,-1947" coordsize="20,58" path="m5557,-1947l5538,-1947,5538,-1918,5538,-1889,5557,-1889,5557,-1918,5557,-1947xe" filled="true" fillcolor="#ff0000" stroked="false">
              <v:path arrowok="t"/>
              <v:fill type="solid"/>
            </v:shape>
            <v:line style="position:absolute" from="5547,-1918" to="5518,-1918" stroked="true" strokeweight=".96pt" strokecolor="#ff0000">
              <v:stroke dashstyle="solid"/>
            </v:line>
            <v:shape style="position:absolute;left:5537;top:-1981;width:72;height:101" coordorigin="5538,-1981" coordsize="72,101" path="m5610,-1937l5590,-1937,5576,-1937,5576,-1942,5595,-1942,5595,-1961,5576,-1961,5576,-1981,5557,-1981,5557,-1961,5538,-1961,5538,-1942,5557,-1942,5557,-1928,5547,-1928,5547,-1909,5552,-1909,5552,-1899,5571,-1899,5571,-1880,5590,-1880,5610,-1880,5610,-1899,5610,-1909,5610,-1918,5610,-1937xe" filled="true" fillcolor="#ff0000" stroked="false">
              <v:path arrowok="t"/>
              <v:fill type="solid"/>
            </v:shape>
            <v:line style="position:absolute" from="5600,-1909" to="5629,-1909" stroked="true" strokeweight=".96pt" strokecolor="#ff0000">
              <v:stroke dashstyle="solid"/>
            </v:line>
            <v:shape style="position:absolute;left:5609;top:-1986;width:20;height:58" coordorigin="5610,-1985" coordsize="20,58" path="m5629,-1985l5610,-1985,5610,-1957,5610,-1928,5629,-1928,5629,-1957,5629,-1985xe" filled="true" fillcolor="#ff0000" stroked="false">
              <v:path arrowok="t"/>
              <v:fill type="solid"/>
            </v:shape>
            <v:shape style="position:absolute;left:5590;top:-1957;width:58;height:2" coordorigin="5590,-1957" coordsize="58,0" path="m5619,-1957l5590,-1957m5619,-1957l5648,-1957e" filled="false" stroked="true" strokeweight=".96pt" strokecolor="#ff0000">
              <v:path arrowok="t"/>
              <v:stroke dashstyle="solid"/>
            </v:shape>
            <v:shape style="position:absolute;left:5638;top:-1986;width:58;height:130" coordorigin="5638,-1985" coordsize="58,130" path="m5696,-1904l5677,-1904,5677,-1913,5677,-1923,5658,-1923,5658,-1913,5658,-1904,5638,-1904,5638,-1894,5638,-1885,5638,-1875,5658,-1875,5658,-1865,5658,-1856,5677,-1856,5677,-1865,5677,-1875,5696,-1875,5696,-1885,5696,-1894,5696,-1904xm5696,-1985l5677,-1985,5677,-1957,5677,-1928,5696,-1928,5696,-1957,5696,-1985xe" filled="true" fillcolor="#ff0000" stroked="false">
              <v:path arrowok="t"/>
              <v:fill type="solid"/>
            </v:shape>
            <v:line style="position:absolute" from="5686,-1957" to="5658,-1957" stroked="true" strokeweight=".96pt" strokecolor="#ff0000">
              <v:stroke dashstyle="solid"/>
            </v:line>
            <v:shape style="position:absolute;left:5676;top:-1981;width:72;height:77" coordorigin="5677,-1981" coordsize="72,77" path="m5749,-1961l5730,-1961,5730,-1981,5710,-1981,5710,-1966,5686,-1966,5686,-1947,5691,-1947,5691,-1942,5696,-1942,5677,-1942,5677,-1923,5696,-1923,5696,-1904,5715,-1904,5715,-1923,5730,-1923,5734,-1923,5734,-1942,5730,-1942,5749,-1942,5749,-1961xe" filled="true" fillcolor="#ff0000" stroked="false">
              <v:path arrowok="t"/>
              <v:fill type="solid"/>
            </v:shape>
            <v:shape style="position:absolute;left:3785;top:-2797;width:5684;height:749" coordorigin="3786,-2797" coordsize="5684,749" path="m3786,-2797l3805,-2792,3819,-2787,3858,-2777,3877,-2768,3891,-2763,3930,-2753,3944,-2749,3982,-2739,3997,-2734,4035,-2725,4054,-2715,4069,-2710,4107,-2701,4122,-2696,4160,-2686,4174,-2681,4232,-2667,4246,-2662,4285,-2653,4299,-2648,4338,-2638,4352,-2633,4410,-2619,4424,-2614,4462,-2605,4477,-2600,4515,-2590,4530,-2585,4549,-2585,4587,-2576,4602,-2571,4640,-2561,4654,-2557,4693,-2547,4707,-2542,4726,-2542,4765,-2533,4779,-2528,4818,-2518,4832,-2513,4851,-2513,4870,-2509,4885,-2504,4942,-2489,4957,-2489,4995,-2480,5010,-2475,5029,-2470,5048,-2470,5062,-2465,5120,-2451,5134,-2451,5173,-2441,5187,-2437,5206,-2437,5226,-2432,5240,-2427,5259,-2422,5278,-2422,5298,-2417,5312,-2413,5331,-2408,5350,-2408,5365,-2403,5384,-2398,5403,-2398,5418,-2393,5456,-2384,5475,-2384,5490,-2379,5509,-2374,5528,-2374,5542,-2369,5562,-2365,5581,-2365,5595,-2360,5614,-2355,5634,-2355,5653,-2350,5667,-2350,5706,-2341,5720,-2341,5758,-2331,5778,-2331,5792,-2326,5811,-2326,5830,-2321,5845,-2317,5864,-2317,5883,-2312,5898,-2312,5936,-2302,5955,-2302,5970,-2297,5989,-2297,6008,-2293,6022,-2293,6061,-2283,6075,-2283,6094,-2278,6114,-2278,6133,-2273,6147,-2273,6166,-2269,6186,-2269,6200,-2264,6219,-2264,6238,-2259,6253,-2259,6272,-2254,6291,-2254,6310,-2249,6325,-2249,6344,-2245,6363,-2245,6378,-2240,6397,-2240,6416,-2235,6430,-2235,6450,-2230,6469,-2230,6488,-2225,6502,-2225,6522,-2221,6541,-2221,6555,-2216,6574,-2216,6594,-2216,6608,-2211,6627,-2211,6646,-2206,6666,-2206,6680,-2201,6718,-2201,6733,-2197,6752,-2197,6771,-2192,6805,-2192,6824,-2187,6843,-2187,6858,-2182,6896,-2182,6910,-2177,6930,-2177,6949,-2173,6982,-2173,7002,-2168,7035,-2168,7054,-2163,7088,-2163,7107,-2158,7141,-2158,7160,-2153,7198,-2153,7213,-2149,7251,-2149,7266,-2144,7304,-2144,7318,-2139,7338,-2139,7357,-2139,7376,-2134,7429,-2134,7443,-2129,7482,-2129,7496,-2125,7554,-2125,7568,-2120,7606,-2120,7621,-2115,7678,-2115,7693,-2110,7746,-2110,7765,-2105,7837,-2105,7856,-2101,7909,-2101,7923,-2096,7995,-2096,8014,-2091,8086,-2091,8101,-2086,8173,-2086,8192,-2081,8278,-2081,8298,-2077,8389,-2077,8403,-2072,8509,-2072,8528,-2067,8653,-2067,8672,-2062,8811,-2062,8830,-2057,8989,-2057,9008,-2053,9219,-2053,9238,-2048,9469,-2048e" filled="false" stroked="true" strokeweight=".96pt" strokecolor="#000000">
              <v:path arrowok="t"/>
              <v:stroke dashstyle="solid"/>
            </v:shape>
            <v:line style="position:absolute" from="9469,-2048" to="9488,-2048" stroked="true" strokeweight=".96pt" strokecolor="#000000">
              <v:stroke dashstyle="solid"/>
            </v:line>
            <v:shape style="position:absolute;left:3785;top:-1827;width:5684;height:399" coordorigin="3786,-1827" coordsize="5684,399" path="m3786,-1429l3805,-1433,3819,-1433,3877,-1448,3891,-1448,3930,-1457,3944,-1462,3963,-1462,3982,-1467,3997,-1472,4016,-1477,4035,-1477,4054,-1481,4069,-1486,4088,-1491,4107,-1491,4122,-1496,4141,-1501,4160,-1501,4174,-1505,4194,-1510,4213,-1510,4232,-1515,4246,-1520,4266,-1520,4285,-1525,4299,-1525,4338,-1534,4352,-1534,4390,-1544,4410,-1544,4424,-1549,4443,-1549,4462,-1553,4477,-1558,4496,-1558,4515,-1563,4530,-1563,4549,-1568,4568,-1568,4587,-1573,4602,-1573,4640,-1582,4654,-1582,4674,-1587,4693,-1587,4707,-1592,4726,-1592,4746,-1597,4765,-1597,4779,-1601,4798,-1601,4818,-1606,4832,-1606,4851,-1611,4870,-1611,4885,-1616,4923,-1616,4942,-1621,4957,-1621,4976,-1625,4995,-1625,5010,-1630,5029,-1630,5048,-1635,5082,-1635,5101,-1640,5120,-1640,5134,-1645,5173,-1645,5187,-1649,5206,-1649,5226,-1654,5259,-1654,5278,-1659,5298,-1659,5312,-1664,5350,-1664,5365,-1669,5403,-1669,5418,-1673,5456,-1673,5475,-1678,5509,-1678,5528,-1683,5562,-1683,5581,-1688,5614,-1688,5634,-1693,5686,-1693,5706,-1697,5739,-1697,5758,-1702,5811,-1702,5830,-1707,5883,-1707,5898,-1712,5955,-1712,5970,-1717,6022,-1717,6042,-1721,6094,-1721,6114,-1726,6186,-1726,6200,-1731,6272,-1731,6291,-1736,6363,-1736,6378,-1741,6469,-1741,6488,-1745,6574,-1745,6594,-1750,6699,-1750,6718,-1755,6843,-1755,6858,-1760,6982,-1760,7002,-1765,7141,-1765,7160,-1769,7338,-1769,7357,-1774,7534,-1774,7554,-1779,7765,-1779,7784,-1784,8014,-1784,8034,-1789,8264,-1789,8278,-1793,8494,-1793,8509,-1798,8686,-1798,8706,-1803,8864,-1803,8883,-1808,9027,-1808,9042,-1813,9186,-1813,9205,-1817,9310,-1817,9330,-1822,9435,-1822,9454,-1827,9469,-1827e" filled="false" stroked="true" strokeweight=".96pt" strokecolor="#000000">
              <v:path arrowok="t"/>
              <v:stroke dashstyle="solid"/>
            </v:shape>
            <v:line style="position:absolute" from="9469,-1827" to="9488,-1827" stroked="true" strokeweight=".96pt" strokecolor="#000000">
              <v:stroke dashstyle="solid"/>
            </v:line>
            <v:line style="position:absolute" from="3776,-1904" to="9478,-1904" stroked="true" strokeweight="2.88pt" strokecolor="#ff00ff">
              <v:stroke dashstyle="solid"/>
            </v:line>
            <v:line style="position:absolute" from="9469,-1923" to="9488,-1928" stroked="true" strokeweight=".96pt" strokecolor="#ff00ff">
              <v:stroke dashstyle="solid"/>
            </v:line>
            <v:rect style="position:absolute;left:7289;top:-3287;width:32;height:8" filled="true" fillcolor="#0000ff" stroked="false">
              <v:fill type="solid"/>
            </v:rect>
            <v:line style="position:absolute" from="7011,-3065" to="7573,-3065" stroked="true" strokeweight=".96pt" strokecolor="#ff0000">
              <v:stroke dashstyle="solid"/>
            </v:line>
            <v:shape style="position:absolute;left:7280;top:-3095;width:20;height:58" coordorigin="7280,-3094" coordsize="20,58" path="m7299,-3094l7280,-3094,7280,-3065,7280,-3037,7299,-3037,7299,-3065,7299,-3094xe" filled="true" fillcolor="#ff0000" stroked="false">
              <v:path arrowok="t"/>
              <v:fill type="solid"/>
            </v:shape>
            <v:shape style="position:absolute;left:7260;top:-3066;width:58;height:2" coordorigin="7261,-3065" coordsize="58,0" path="m7290,-3065l7261,-3065m7290,-3065l7318,-3065e" filled="false" stroked="true" strokeweight=".96pt" strokecolor="#ff0000">
              <v:path arrowok="t"/>
              <v:stroke dashstyle="solid"/>
            </v:shape>
            <v:rect style="position:absolute;left:2254;top:-4765;width:7726;height:4443" filled="false" stroked="true" strokeweight=".12pt" strokecolor="#000000">
              <v:stroke dashstyle="solid"/>
            </v:rect>
            <v:shape style="position:absolute;left:4256;top:-4623;width:3686;height:679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24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Historical</w:t>
                    </w:r>
                    <w:r>
                      <w:rPr>
                        <w:rFonts w:ascii="Arial"/>
                        <w:b/>
                        <w:spacing w:val="1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Volatitlity</w:t>
                    </w:r>
                    <w:r>
                      <w:rPr>
                        <w:rFonts w:ascii="Arial"/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Cone</w:t>
                    </w:r>
                  </w:p>
                  <w:p>
                    <w:pPr>
                      <w:spacing w:before="33"/>
                      <w:ind w:left="0" w:right="18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vs.</w:t>
                    </w:r>
                    <w:r>
                      <w:rPr>
                        <w:rFonts w:ascii="Arial"/>
                        <w:b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30-day</w:t>
                    </w:r>
                    <w:r>
                      <w:rPr>
                        <w:rFonts w:ascii="Arial"/>
                        <w:b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Historical</w:t>
                    </w:r>
                    <w:r>
                      <w:rPr>
                        <w:rFonts w:ascii="Arial"/>
                        <w:b/>
                        <w:spacing w:val="15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1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Implied</w:t>
                    </w:r>
                    <w:r>
                      <w:rPr>
                        <w:rFonts w:ascii="Arial"/>
                        <w:b/>
                        <w:spacing w:val="12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Volatility</w:t>
                    </w:r>
                  </w:p>
                  <w:p>
                    <w:pPr>
                      <w:spacing w:before="28"/>
                      <w:ind w:left="0" w:right="21" w:firstLine="0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NT</w:t>
                    </w:r>
                    <w:r>
                      <w:rPr>
                        <w:rFonts w:ascii="Arial MT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Call</w:t>
                    </w:r>
                    <w:r>
                      <w:rPr>
                        <w:rFonts w:ascii="Arial MT"/>
                        <w:spacing w:val="7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March</w:t>
                    </w:r>
                    <w:r>
                      <w:rPr>
                        <w:rFonts w:ascii="Arial MT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04</w:t>
                    </w:r>
                    <w:r>
                      <w:rPr>
                        <w:rFonts w:ascii="Arial MT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4.500</w:t>
                    </w:r>
                    <w:r>
                      <w:rPr>
                        <w:rFonts w:ascii="Arial MT"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as</w:t>
                    </w:r>
                    <w:r>
                      <w:rPr>
                        <w:rFonts w:ascii="Arial MT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at</w:t>
                    </w:r>
                    <w:r>
                      <w:rPr>
                        <w:rFonts w:ascii="Arial MT"/>
                        <w:spacing w:val="6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Jan.</w:t>
                    </w:r>
                    <w:r>
                      <w:rPr>
                        <w:rFonts w:ascii="Arial MT"/>
                        <w:spacing w:val="6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30</w:t>
                    </w:r>
                    <w:r>
                      <w:rPr>
                        <w:rFonts w:ascii="Arial MT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2004</w:t>
                    </w:r>
                  </w:p>
                </w:txbxContent>
              </v:textbox>
              <w10:wrap type="none"/>
            </v:shape>
            <v:shape style="position:absolute;left:2748;top:-3588;width:419;height:2592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5"/>
                        <w:sz w:val="16"/>
                      </w:rPr>
                      <w:t>180%</w:t>
                    </w:r>
                  </w:p>
                  <w:p>
                    <w:pPr>
                      <w:spacing w:before="85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5"/>
                        <w:sz w:val="16"/>
                      </w:rPr>
                      <w:t>160%</w:t>
                    </w:r>
                  </w:p>
                  <w:p>
                    <w:pPr>
                      <w:spacing w:before="84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5"/>
                        <w:sz w:val="16"/>
                      </w:rPr>
                      <w:t>140%</w:t>
                    </w:r>
                  </w:p>
                  <w:p>
                    <w:pPr>
                      <w:spacing w:before="85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5"/>
                        <w:sz w:val="16"/>
                      </w:rPr>
                      <w:t>120%</w:t>
                    </w:r>
                  </w:p>
                  <w:p>
                    <w:pPr>
                      <w:spacing w:before="85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5"/>
                        <w:sz w:val="16"/>
                      </w:rPr>
                      <w:t>100%</w:t>
                    </w:r>
                  </w:p>
                  <w:p>
                    <w:pPr>
                      <w:spacing w:before="80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80%</w:t>
                    </w:r>
                  </w:p>
                  <w:p>
                    <w:pPr>
                      <w:spacing w:before="85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60%</w:t>
                    </w:r>
                  </w:p>
                  <w:p>
                    <w:pPr>
                      <w:spacing w:before="85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40%</w:t>
                    </w:r>
                  </w:p>
                  <w:p>
                    <w:pPr>
                      <w:spacing w:before="84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20%</w:t>
                    </w:r>
                  </w:p>
                  <w:p>
                    <w:pPr>
                      <w:spacing w:line="184" w:lineRule="exact" w:before="85"/>
                      <w:ind w:left="0" w:right="18" w:firstLine="0"/>
                      <w:jc w:val="righ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0%</w:t>
                    </w:r>
                  </w:p>
                </w:txbxContent>
              </v:textbox>
              <w10:wrap type="none"/>
            </v:shape>
            <v:shape style="position:absolute;left:7011;top:-3377;width:2056;height:398" type="#_x0000_t202" filled="false" stroked="false">
              <v:textbox inset="0,0,0,0">
                <w:txbxContent>
                  <w:p>
                    <w:pPr>
                      <w:tabs>
                        <w:tab w:pos="561" w:val="left" w:leader="none"/>
                      </w:tabs>
                      <w:spacing w:line="177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99"/>
                        <w:sz w:val="16"/>
                        <w:u w:val="dotted" w:color="0000FF"/>
                      </w:rPr>
                      <w:t> </w:t>
                    </w:r>
                    <w:r>
                      <w:rPr>
                        <w:rFonts w:ascii="Arial MT"/>
                        <w:sz w:val="16"/>
                        <w:u w:val="dotted" w:color="0000FF"/>
                      </w:rPr>
                      <w:tab/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6"/>
                      </w:rPr>
                      <w:t>30-day</w:t>
                    </w:r>
                    <w:r>
                      <w:rPr>
                        <w:rFonts w:ascii="Arial MT"/>
                        <w:spacing w:val="-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6"/>
                      </w:rPr>
                      <w:t>Hist.</w:t>
                    </w:r>
                    <w:r>
                      <w:rPr>
                        <w:rFonts w:ascii="Arial MT"/>
                        <w:spacing w:val="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6"/>
                      </w:rPr>
                      <w:t>Volatility</w:t>
                    </w:r>
                  </w:p>
                  <w:p>
                    <w:pPr>
                      <w:spacing w:line="184" w:lineRule="exact" w:before="37"/>
                      <w:ind w:left="599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3"/>
                        <w:sz w:val="16"/>
                      </w:rPr>
                      <w:t>Implied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Volatility</w:t>
                    </w:r>
                  </w:p>
                </w:txbxContent>
              </v:textbox>
              <w10:wrap type="none"/>
            </v:shape>
            <v:shape style="position:absolute;left:3224;top:-944;width:6413;height:376" type="#_x0000_t202" filled="false" stroked="false">
              <v:textbox inset="0,0,0,0">
                <w:txbxContent>
                  <w:p>
                    <w:pPr>
                      <w:tabs>
                        <w:tab w:pos="475" w:val="left" w:leader="none"/>
                        <w:tab w:pos="993" w:val="left" w:leader="none"/>
                        <w:tab w:pos="1511" w:val="left" w:leader="none"/>
                        <w:tab w:pos="1986" w:val="left" w:leader="none"/>
                        <w:tab w:pos="2505" w:val="left" w:leader="none"/>
                        <w:tab w:pos="3023" w:val="left" w:leader="none"/>
                        <w:tab w:pos="3541" w:val="left" w:leader="none"/>
                        <w:tab w:pos="4060" w:val="left" w:leader="none"/>
                        <w:tab w:pos="4578" w:val="left" w:leader="none"/>
                        <w:tab w:pos="5096" w:val="left" w:leader="none"/>
                        <w:tab w:pos="5615" w:val="left" w:leader="none"/>
                        <w:tab w:pos="6133" w:val="left" w:leader="none"/>
                      </w:tabs>
                      <w:spacing w:line="177" w:lineRule="exact" w:before="0"/>
                      <w:ind w:left="0" w:right="18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0</w:t>
                      <w:tab/>
                      <w:t>30</w:t>
                      <w:tab/>
                      <w:t>60</w:t>
                      <w:tab/>
                      <w:t>90</w:t>
                      <w:tab/>
                      <w:t>120</w:t>
                      <w:tab/>
                      <w:t>150</w:t>
                      <w:tab/>
                      <w:t>180</w:t>
                      <w:tab/>
                      <w:t>210</w:t>
                      <w:tab/>
                      <w:t>240</w:t>
                      <w:tab/>
                      <w:t>270</w:t>
                      <w:tab/>
                      <w:t>300</w:t>
                      <w:tab/>
                      <w:t>330</w:t>
                      <w:tab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360</w:t>
                    </w:r>
                  </w:p>
                  <w:p>
                    <w:pPr>
                      <w:spacing w:before="83"/>
                      <w:ind w:left="0" w:right="107" w:firstLine="0"/>
                      <w:jc w:val="center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Days</w:t>
                    </w:r>
                    <w:r>
                      <w:rPr>
                        <w:rFonts w:ascii="Arial MT"/>
                        <w:spacing w:val="2"/>
                        <w:sz w:val="10"/>
                      </w:rPr>
                      <w:t> </w:t>
                    </w:r>
                    <w:r>
                      <w:rPr>
                        <w:rFonts w:ascii="Arial MT"/>
                        <w:sz w:val="10"/>
                      </w:rPr>
                      <w:t>to</w:t>
                    </w:r>
                    <w:r>
                      <w:rPr>
                        <w:rFonts w:ascii="Arial MT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Arial MT"/>
                        <w:sz w:val="10"/>
                      </w:rPr>
                      <w:t>Option</w:t>
                    </w:r>
                    <w:r>
                      <w:rPr>
                        <w:rFonts w:ascii="Arial MT"/>
                        <w:spacing w:val="-3"/>
                        <w:sz w:val="10"/>
                      </w:rPr>
                      <w:t> </w:t>
                    </w:r>
                    <w:r>
                      <w:rPr>
                        <w:rFonts w:ascii="Arial MT"/>
                        <w:sz w:val="10"/>
                      </w:rPr>
                      <w:t>Expiry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Time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cone:</w:t>
      </w:r>
      <w:r>
        <w:rPr>
          <w:spacing w:val="-4"/>
        </w:rPr>
        <w:t> </w:t>
      </w:r>
      <w:r>
        <w:rPr/>
        <w:t>January</w:t>
      </w:r>
      <w:r>
        <w:rPr>
          <w:spacing w:val="-3"/>
        </w:rPr>
        <w:t> </w:t>
      </w:r>
      <w:r>
        <w:rPr/>
        <w:t>2004</w:t>
      </w:r>
      <w:r>
        <w:rPr>
          <w:spacing w:val="-4"/>
        </w:rPr>
        <w:t> </w:t>
      </w:r>
      <w:r>
        <w:rPr/>
        <w:t>back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2002</w:t>
      </w:r>
      <w:r>
        <w:rPr>
          <w:spacing w:val="-67"/>
        </w:rPr>
        <w:t> </w:t>
      </w:r>
      <w:r>
        <w:rPr/>
        <w:t>Implied</w:t>
      </w:r>
      <w:r>
        <w:rPr>
          <w:spacing w:val="-2"/>
        </w:rPr>
        <w:t> </w:t>
      </w:r>
      <w:r>
        <w:rPr/>
        <w:t>volatilities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on February 5,</w:t>
      </w:r>
      <w:r>
        <w:rPr>
          <w:spacing w:val="-2"/>
        </w:rPr>
        <w:t> </w:t>
      </w:r>
      <w:r>
        <w:rPr/>
        <w:t>2004</w:t>
      </w:r>
    </w:p>
    <w:p>
      <w:pPr>
        <w:spacing w:after="0"/>
        <w:sectPr>
          <w:pgSz w:w="12240" w:h="15840"/>
          <w:pgMar w:top="1340" w:bottom="280" w:left="1200" w:right="1200"/>
        </w:sectPr>
      </w:pPr>
    </w:p>
    <w:p>
      <w:pPr>
        <w:pStyle w:val="BodyText"/>
        <w:spacing w:before="80"/>
        <w:ind w:left="216" w:right="269"/>
      </w:pPr>
      <w:r>
        <w:rPr/>
        <w:t>Intuitively, the volatility cone gets its name from the shape of the volatility boundaries. One</w:t>
      </w:r>
      <w:r>
        <w:rPr>
          <w:spacing w:val="-68"/>
        </w:rPr>
        <w:t> </w:t>
      </w:r>
      <w:r>
        <w:rPr/>
        <w:t>of the most important implications of the volatility cone is that short-term volatilities tend to</w:t>
      </w:r>
      <w:r>
        <w:rPr>
          <w:spacing w:val="-68"/>
        </w:rPr>
        <w:t> </w:t>
      </w:r>
      <w:r>
        <w:rPr/>
        <w:t>fluctuate within a much wider range around its mean than do long-term volatilities. In this</w:t>
      </w:r>
      <w:r>
        <w:rPr>
          <w:spacing w:val="1"/>
        </w:rPr>
        <w:t> </w:t>
      </w:r>
      <w:r>
        <w:rPr/>
        <w:t>case, we find NT 1-month historical volatilities varied dramatically within a range of 100%</w:t>
      </w:r>
      <w:r>
        <w:rPr>
          <w:spacing w:val="1"/>
        </w:rPr>
        <w:t> </w:t>
      </w:r>
      <w:r>
        <w:rPr/>
        <w:t>(Max. - Min. = 127.96% - 27.11%), while 9-month historical volatilities varied within a</w:t>
      </w:r>
      <w:r>
        <w:rPr>
          <w:spacing w:val="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26%</w:t>
      </w:r>
      <w:r>
        <w:rPr>
          <w:spacing w:val="-2"/>
        </w:rPr>
        <w:t> </w:t>
      </w:r>
      <w:r>
        <w:rPr/>
        <w:t>(76.40%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50.50%).</w:t>
      </w:r>
    </w:p>
    <w:p>
      <w:pPr>
        <w:pStyle w:val="BodyText"/>
      </w:pPr>
    </w:p>
    <w:p>
      <w:pPr>
        <w:pStyle w:val="BodyText"/>
        <w:ind w:left="216" w:right="269"/>
      </w:pPr>
      <w:r>
        <w:rPr/>
        <w:t>From an options trader’s perspective, however, the biggest concern when using volatility</w:t>
      </w:r>
      <w:r>
        <w:rPr>
          <w:spacing w:val="1"/>
        </w:rPr>
        <w:t> </w:t>
      </w:r>
      <w:r>
        <w:rPr/>
        <w:t>cones is deciding whether the options are cheap or expensive. Experience indicates that</w:t>
      </w:r>
      <w:r>
        <w:rPr>
          <w:spacing w:val="1"/>
        </w:rPr>
        <w:t> </w:t>
      </w:r>
      <w:r>
        <w:rPr/>
        <w:t>traders are accustomed to comparing implied volatilities with 20- or 30-day historical</w:t>
      </w:r>
      <w:r>
        <w:rPr>
          <w:spacing w:val="1"/>
        </w:rPr>
        <w:t> </w:t>
      </w:r>
      <w:r>
        <w:rPr/>
        <w:t>volatilities to identify investment opportunities. This could be misleading; for example,</w:t>
      </w:r>
      <w:r>
        <w:rPr>
          <w:spacing w:val="1"/>
        </w:rPr>
        <w:t> </w:t>
      </w:r>
      <w:r>
        <w:rPr/>
        <w:t>implied</w:t>
      </w:r>
      <w:r>
        <w:rPr>
          <w:spacing w:val="-4"/>
        </w:rPr>
        <w:t> </w:t>
      </w:r>
      <w:r>
        <w:rPr/>
        <w:t>volatilities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late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2003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early</w:t>
      </w:r>
      <w:r>
        <w:rPr>
          <w:spacing w:val="-4"/>
        </w:rPr>
        <w:t> </w:t>
      </w:r>
      <w:r>
        <w:rPr/>
        <w:t>January</w:t>
      </w:r>
      <w:r>
        <w:rPr>
          <w:spacing w:val="-1"/>
        </w:rPr>
        <w:t> </w:t>
      </w:r>
      <w:r>
        <w:rPr/>
        <w:t>2004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well</w:t>
      </w:r>
      <w:r>
        <w:rPr>
          <w:spacing w:val="-1"/>
        </w:rPr>
        <w:t> </w:t>
      </w:r>
      <w:r>
        <w:rPr/>
        <w:t>above</w:t>
      </w:r>
      <w:r>
        <w:rPr>
          <w:spacing w:val="-67"/>
        </w:rPr>
        <w:t> </w:t>
      </w:r>
      <w:r>
        <w:rPr/>
        <w:t>historical volatilities for a considerable time. However, this does not mean current implied</w:t>
      </w:r>
      <w:r>
        <w:rPr>
          <w:spacing w:val="1"/>
        </w:rPr>
        <w:t> </w:t>
      </w:r>
      <w:r>
        <w:rPr/>
        <w:t>volatilities are excessively high. In fact, implied volatilities are lying around their normal</w:t>
      </w:r>
      <w:r>
        <w:rPr>
          <w:spacing w:val="1"/>
        </w:rPr>
        <w:t> </w:t>
      </w:r>
      <w:r>
        <w:rPr/>
        <w:t>mean.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16" w:right="433"/>
      </w:pPr>
      <w:r>
        <w:rPr/>
        <w:t>Conversely, based on the cone, one might feel that the volatility level for the period of late</w:t>
      </w:r>
      <w:r>
        <w:rPr>
          <w:spacing w:val="-68"/>
        </w:rPr>
        <w:t> </w:t>
      </w:r>
      <w:r>
        <w:rPr/>
        <w:t>January 2004 and early February is higher than normal, representing trading opportunities</w:t>
      </w:r>
      <w:r>
        <w:rPr>
          <w:spacing w:val="-68"/>
        </w:rPr>
        <w:t> </w:t>
      </w:r>
      <w:r>
        <w:rPr/>
        <w:t>for taking short volatility positions. In this case, traders would be at least more confident</w:t>
      </w:r>
      <w:r>
        <w:rPr>
          <w:spacing w:val="1"/>
        </w:rPr>
        <w:t> </w:t>
      </w:r>
      <w:r>
        <w:rPr/>
        <w:t>using volatility cones in making their decisions, rather than simply comparing implied</w:t>
      </w:r>
      <w:r>
        <w:rPr>
          <w:spacing w:val="1"/>
        </w:rPr>
        <w:t> </w:t>
      </w:r>
      <w:r>
        <w:rPr/>
        <w:t>volatility</w:t>
      </w:r>
      <w:r>
        <w:rPr>
          <w:spacing w:val="-2"/>
        </w:rPr>
        <w:t> </w:t>
      </w:r>
      <w:r>
        <w:rPr/>
        <w:t>with historical</w:t>
      </w:r>
      <w:r>
        <w:rPr>
          <w:spacing w:val="-1"/>
        </w:rPr>
        <w:t> </w:t>
      </w:r>
      <w:r>
        <w:rPr/>
        <w:t>volatility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"/>
      </w:pPr>
    </w:p>
    <w:p>
      <w:pPr>
        <w:pStyle w:val="BodyText"/>
        <w:ind w:left="216" w:right="352"/>
      </w:pPr>
      <w:r>
        <w:rPr/>
        <w:t>Although volatility cones provide traders with a useful and potentially profitable tool in</w:t>
      </w:r>
      <w:r>
        <w:rPr>
          <w:spacing w:val="1"/>
        </w:rPr>
        <w:t> </w:t>
      </w:r>
      <w:r>
        <w:rPr/>
        <w:t>determining whether options volatilities are too high or too low, investors should</w:t>
      </w:r>
      <w:r>
        <w:rPr>
          <w:spacing w:val="1"/>
        </w:rPr>
        <w:t> </w:t>
      </w:r>
      <w:r>
        <w:rPr/>
        <w:t>nonetheless check whether substantial changes in the government’s economic policies or a</w:t>
      </w:r>
      <w:r>
        <w:rPr>
          <w:spacing w:val="1"/>
        </w:rPr>
        <w:t> </w:t>
      </w:r>
      <w:r>
        <w:rPr/>
        <w:t>company’s capital structure are significantly affecting the long-term volatility dynamics that</w:t>
      </w:r>
      <w:r>
        <w:rPr>
          <w:spacing w:val="-68"/>
        </w:rPr>
        <w:t> </w:t>
      </w:r>
      <w:r>
        <w:rPr/>
        <w:t>drive</w:t>
      </w:r>
      <w:r>
        <w:rPr>
          <w:spacing w:val="-3"/>
        </w:rPr>
        <w:t> </w:t>
      </w:r>
      <w:r>
        <w:rPr/>
        <w:t>the options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before="1"/>
      </w:pPr>
    </w:p>
    <w:p>
      <w:pPr>
        <w:pStyle w:val="Heading1"/>
        <w:spacing w:line="243" w:lineRule="exact"/>
        <w:ind w:left="216"/>
      </w:pPr>
      <w:r>
        <w:rPr/>
        <w:t>Conclusion</w:t>
      </w:r>
    </w:p>
    <w:p>
      <w:pPr>
        <w:pStyle w:val="BodyText"/>
        <w:ind w:left="216" w:right="269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volatility</w:t>
      </w:r>
      <w:r>
        <w:rPr>
          <w:spacing w:val="-4"/>
        </w:rPr>
        <w:t> </w:t>
      </w:r>
      <w:r>
        <w:rPr/>
        <w:t>cone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 practical</w:t>
      </w:r>
      <w:r>
        <w:rPr>
          <w:spacing w:val="-1"/>
        </w:rPr>
        <w:t> </w:t>
      </w:r>
      <w:r>
        <w:rPr/>
        <w:t>real-life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Nortel</w:t>
      </w:r>
      <w:r>
        <w:rPr>
          <w:spacing w:val="-1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stock</w:t>
      </w:r>
      <w:r>
        <w:rPr>
          <w:spacing w:val="-67"/>
        </w:rPr>
        <w:t> </w:t>
      </w:r>
      <w:r>
        <w:rPr/>
        <w:t>options to show that traders can use a well-recognized volatility analysis technique to</w:t>
      </w:r>
      <w:r>
        <w:rPr>
          <w:spacing w:val="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potentially profitable</w:t>
      </w:r>
      <w:r>
        <w:rPr>
          <w:spacing w:val="-3"/>
        </w:rPr>
        <w:t> </w:t>
      </w:r>
      <w:r>
        <w:rPr/>
        <w:t>trading opportunities.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16" w:right="269"/>
      </w:pPr>
      <w:r>
        <w:rPr/>
        <w:t>Time horizon matching is crucial to make an appropriate comparison between implied and</w:t>
      </w:r>
      <w:r>
        <w:rPr>
          <w:spacing w:val="1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volatilities.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volatilities</w:t>
      </w:r>
      <w:r>
        <w:rPr>
          <w:spacing w:val="-6"/>
        </w:rPr>
        <w:t> </w:t>
      </w:r>
      <w:r>
        <w:rPr/>
        <w:t>should</w:t>
      </w:r>
      <w:r>
        <w:rPr>
          <w:spacing w:val="-4"/>
        </w:rPr>
        <w:t> </w:t>
      </w:r>
      <w:r>
        <w:rPr/>
        <w:t>precisely</w:t>
      </w:r>
      <w:r>
        <w:rPr>
          <w:spacing w:val="-5"/>
        </w:rPr>
        <w:t> </w:t>
      </w:r>
      <w:r>
        <w:rPr/>
        <w:t>match</w:t>
      </w:r>
      <w:r>
        <w:rPr>
          <w:spacing w:val="-68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life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options</w:t>
      </w:r>
      <w:r>
        <w:rPr>
          <w:spacing w:val="-3"/>
        </w:rPr>
        <w:t> </w:t>
      </w:r>
      <w:r>
        <w:rPr/>
        <w:t>under analysis.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216" w:right="357"/>
      </w:pPr>
      <w:r>
        <w:rPr/>
        <w:t>Volatility mean reversion is another valuable characteristic that we observed from empirical</w:t>
      </w:r>
      <w:r>
        <w:rPr>
          <w:spacing w:val="-68"/>
        </w:rPr>
        <w:t> </w:t>
      </w:r>
      <w:r>
        <w:rPr/>
        <w:t>evidence and which we combined with a historical volatility data set to forecast volatility</w:t>
      </w:r>
      <w:r>
        <w:rPr>
          <w:spacing w:val="1"/>
        </w:rPr>
        <w:t> </w:t>
      </w:r>
      <w:r>
        <w:rPr/>
        <w:t>trends for</w:t>
      </w:r>
      <w:r>
        <w:rPr>
          <w:spacing w:val="-2"/>
        </w:rPr>
        <w:t> </w:t>
      </w:r>
      <w:r>
        <w:rPr/>
        <w:t>different times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expiry.</w:t>
      </w:r>
    </w:p>
    <w:p>
      <w:pPr>
        <w:pStyle w:val="BodyText"/>
        <w:rPr>
          <w:sz w:val="24"/>
        </w:rPr>
      </w:pPr>
    </w:p>
    <w:p>
      <w:pPr>
        <w:pStyle w:val="BodyText"/>
        <w:spacing w:line="243" w:lineRule="exact" w:before="195"/>
        <w:ind w:left="216"/>
      </w:pPr>
      <w:r>
        <w:rPr/>
        <w:t>References: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6" w:right="210" w:hanging="360"/>
        <w:jc w:val="left"/>
        <w:rPr>
          <w:sz w:val="20"/>
        </w:rPr>
      </w:pPr>
      <w:r>
        <w:rPr>
          <w:i/>
          <w:sz w:val="20"/>
        </w:rPr>
        <w:t>How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tell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options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are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cheap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Galen</w:t>
      </w:r>
      <w:r>
        <w:rPr>
          <w:spacing w:val="21"/>
          <w:sz w:val="20"/>
        </w:rPr>
        <w:t> </w:t>
      </w:r>
      <w:r>
        <w:rPr>
          <w:sz w:val="20"/>
        </w:rPr>
        <w:t>Burghardt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Morton</w:t>
      </w:r>
      <w:r>
        <w:rPr>
          <w:spacing w:val="21"/>
          <w:sz w:val="20"/>
        </w:rPr>
        <w:t> </w:t>
      </w:r>
      <w:r>
        <w:rPr>
          <w:sz w:val="20"/>
        </w:rPr>
        <w:t>Lane,</w:t>
      </w:r>
      <w:r>
        <w:rPr>
          <w:spacing w:val="19"/>
          <w:sz w:val="20"/>
        </w:rPr>
        <w:t> </w:t>
      </w:r>
      <w:r>
        <w:rPr>
          <w:sz w:val="20"/>
        </w:rPr>
        <w:t>Journal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Portfolio</w:t>
      </w:r>
      <w:r>
        <w:rPr>
          <w:spacing w:val="-68"/>
          <w:sz w:val="20"/>
        </w:rPr>
        <w:t> </w:t>
      </w:r>
      <w:r>
        <w:rPr>
          <w:sz w:val="20"/>
        </w:rPr>
        <w:t>Management, Winter</w:t>
      </w:r>
      <w:r>
        <w:rPr>
          <w:spacing w:val="-2"/>
          <w:sz w:val="20"/>
        </w:rPr>
        <w:t> </w:t>
      </w:r>
      <w:r>
        <w:rPr>
          <w:sz w:val="20"/>
        </w:rPr>
        <w:t>1990,</w:t>
      </w:r>
      <w:r>
        <w:rPr>
          <w:spacing w:val="-2"/>
          <w:sz w:val="20"/>
        </w:rPr>
        <w:t> </w:t>
      </w:r>
      <w:r>
        <w:rPr>
          <w:sz w:val="20"/>
        </w:rPr>
        <w:t>Vol.</w:t>
      </w:r>
      <w:r>
        <w:rPr>
          <w:spacing w:val="-2"/>
          <w:sz w:val="20"/>
        </w:rPr>
        <w:t> </w:t>
      </w:r>
      <w:r>
        <w:rPr>
          <w:sz w:val="20"/>
        </w:rPr>
        <w:t>16. Nov</w:t>
      </w:r>
      <w:r>
        <w:rPr>
          <w:spacing w:val="1"/>
          <w:sz w:val="20"/>
        </w:rPr>
        <w:t> </w:t>
      </w:r>
      <w:r>
        <w:rPr>
          <w:sz w:val="20"/>
        </w:rPr>
        <w:t>2.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2" w:lineRule="exact" w:before="0" w:after="0"/>
        <w:ind w:left="576" w:right="0" w:hanging="361"/>
        <w:jc w:val="left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86"/>
          <w:sz w:val="20"/>
        </w:rPr>
        <w:t> </w:t>
      </w:r>
      <w:r>
        <w:rPr>
          <w:i/>
          <w:sz w:val="20"/>
        </w:rPr>
        <w:t>Handbook</w:t>
      </w:r>
      <w:r>
        <w:rPr>
          <w:i/>
          <w:spacing w:val="8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85"/>
          <w:sz w:val="20"/>
        </w:rPr>
        <w:t> </w:t>
      </w:r>
      <w:r>
        <w:rPr>
          <w:i/>
          <w:sz w:val="20"/>
        </w:rPr>
        <w:t>Risk</w:t>
      </w:r>
      <w:r>
        <w:rPr>
          <w:i/>
          <w:spacing w:val="85"/>
          <w:sz w:val="20"/>
        </w:rPr>
        <w:t> </w:t>
      </w:r>
      <w:r>
        <w:rPr>
          <w:i/>
          <w:sz w:val="20"/>
        </w:rPr>
        <w:t>Management</w:t>
      </w:r>
      <w:r>
        <w:rPr>
          <w:i/>
          <w:spacing w:val="8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85"/>
          <w:sz w:val="20"/>
        </w:rPr>
        <w:t> </w:t>
      </w:r>
      <w:r>
        <w:rPr>
          <w:i/>
          <w:sz w:val="20"/>
        </w:rPr>
        <w:t>Analysis</w:t>
      </w:r>
      <w:r>
        <w:rPr>
          <w:sz w:val="20"/>
        </w:rPr>
        <w:t>,</w:t>
      </w:r>
      <w:r>
        <w:rPr>
          <w:spacing w:val="86"/>
          <w:sz w:val="20"/>
        </w:rPr>
        <w:t> </w:t>
      </w:r>
      <w:r>
        <w:rPr>
          <w:sz w:val="20"/>
        </w:rPr>
        <w:t>Chapter</w:t>
      </w:r>
      <w:r>
        <w:rPr>
          <w:spacing w:val="83"/>
          <w:sz w:val="20"/>
        </w:rPr>
        <w:t> </w:t>
      </w:r>
      <w:r>
        <w:rPr>
          <w:sz w:val="20"/>
        </w:rPr>
        <w:t>12</w:t>
      </w:r>
      <w:r>
        <w:rPr>
          <w:spacing w:val="87"/>
          <w:sz w:val="20"/>
        </w:rPr>
        <w:t> </w:t>
      </w:r>
      <w:r>
        <w:rPr>
          <w:sz w:val="20"/>
        </w:rPr>
        <w:t>Trading</w:t>
      </w:r>
      <w:r>
        <w:rPr>
          <w:spacing w:val="86"/>
          <w:sz w:val="20"/>
        </w:rPr>
        <w:t> </w:t>
      </w:r>
      <w:r>
        <w:rPr>
          <w:sz w:val="20"/>
        </w:rPr>
        <w:t>Volatilities,</w:t>
      </w:r>
    </w:p>
    <w:p>
      <w:pPr>
        <w:pStyle w:val="BodyText"/>
        <w:spacing w:line="243" w:lineRule="exact" w:before="2"/>
        <w:ind w:left="576"/>
      </w:pPr>
      <w:r>
        <w:rPr/>
        <w:t>M.</w:t>
      </w:r>
      <w:r>
        <w:rPr>
          <w:spacing w:val="-5"/>
        </w:rPr>
        <w:t> </w:t>
      </w:r>
      <w:r>
        <w:rPr/>
        <w:t>Desmond</w:t>
      </w:r>
      <w:r>
        <w:rPr>
          <w:spacing w:val="-3"/>
        </w:rPr>
        <w:t> </w:t>
      </w:r>
      <w:r>
        <w:rPr/>
        <w:t>Fitzgerald.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646" w:right="1852" w:hanging="430"/>
        <w:jc w:val="left"/>
        <w:rPr>
          <w:sz w:val="20"/>
        </w:rPr>
      </w:pPr>
      <w:r>
        <w:rPr>
          <w:i/>
          <w:sz w:val="20"/>
        </w:rPr>
        <w:t>Rolling down the volatility term structure</w:t>
      </w:r>
      <w:r>
        <w:rPr>
          <w:sz w:val="20"/>
        </w:rPr>
        <w:t>, Anchal Jai, ICICI Bank Limited.</w:t>
      </w:r>
      <w:r>
        <w:rPr>
          <w:color w:val="0000FF"/>
          <w:spacing w:val="-68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http://www.icicicareers.com/pdf/VolatilityStructureRolldownl.pdf</w:t>
        </w:r>
      </w:hyperlink>
    </w:p>
    <w:sectPr>
      <w:pgSz w:w="12240" w:h="15840"/>
      <w:pgMar w:top="100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Verdana" w:hAnsi="Verdana" w:eastAsia="Verdana" w:cs="Verdan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6" w:hanging="43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 w:line="228" w:lineRule="exact"/>
      <w:jc w:val="center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-x.ca/cotes_en.php" TargetMode="External"/><Relationship Id="rId7" Type="http://schemas.openxmlformats.org/officeDocument/2006/relationships/hyperlink" Target="http://finance.yahoo.com/" TargetMode="External"/><Relationship Id="rId8" Type="http://schemas.openxmlformats.org/officeDocument/2006/relationships/hyperlink" Target="http://www.icicicareers.com/pdf/VolatilityStructureRolldownl.pdf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2024-04-29T18:17:03Z</dcterms:created>
  <dcterms:modified xsi:type="dcterms:W3CDTF">2024-04-29T18:17:03Z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2004-05-17T00:00:00Z</vt:filetime>
  </property>
  <property fmtid="{D5CDD505-2E9C-101B-9397-08002B2CF9AE}" pid="3" name="LastSaved">
    <vt:filetime>2024-04-29T00:00:00Z</vt:filetime>
  </property>
</Properties>
</file>