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408E" w14:textId="7F86760B" w:rsidR="000A5483" w:rsidRPr="00A81FCA" w:rsidRDefault="000A5483" w:rsidP="00A81FCA">
      <w:pPr>
        <w:spacing w:before="100" w:beforeAutospacing="1" w:after="100" w:afterAutospacing="1" w:line="240" w:lineRule="auto"/>
        <w:jc w:val="center"/>
        <w:outlineLvl w:val="2"/>
        <w:rPr>
          <w:rFonts w:ascii="Century Gothic" w:eastAsia="Times New Roman" w:hAnsi="Century Gothic" w:cs="Times New Roman"/>
          <w:b/>
          <w:bCs/>
          <w:color w:val="0F172A"/>
          <w:kern w:val="0"/>
          <w:sz w:val="60"/>
          <w:szCs w:val="60"/>
          <w:u w:val="double"/>
          <w:lang w:eastAsia="en-IN"/>
          <w14:ligatures w14:val="none"/>
        </w:rPr>
      </w:pPr>
      <w:r w:rsidRPr="000A5483">
        <w:rPr>
          <w:rFonts w:ascii="Century Gothic" w:eastAsia="Times New Roman" w:hAnsi="Century Gothic" w:cs="Times New Roman"/>
          <w:b/>
          <w:bCs/>
          <w:i/>
          <w:iCs/>
          <w:color w:val="0F172A"/>
          <w:kern w:val="0"/>
          <w:sz w:val="60"/>
          <w:szCs w:val="60"/>
          <w:u w:val="double"/>
          <w:lang w:eastAsia="en-IN"/>
          <w14:ligatures w14:val="none"/>
        </w:rPr>
        <w:t>Power BI Sales Analytics with AI Capabilities</w:t>
      </w:r>
    </w:p>
    <w:p w14:paraId="65D5AEB7" w14:textId="77777777" w:rsidR="00AD290D" w:rsidRDefault="00AD290D" w:rsidP="00120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172A"/>
          <w:kern w:val="0"/>
          <w:sz w:val="27"/>
          <w:szCs w:val="27"/>
          <w:u w:val="single"/>
          <w:lang w:eastAsia="en-IN"/>
          <w14:ligatures w14:val="none"/>
        </w:rPr>
      </w:pPr>
    </w:p>
    <w:p w14:paraId="14FC9048" w14:textId="5FD33B5C" w:rsidR="00120377" w:rsidRPr="00120377" w:rsidRDefault="00120377" w:rsidP="00120377">
      <w:pPr>
        <w:spacing w:before="100" w:beforeAutospacing="1" w:after="100" w:afterAutospacing="1" w:line="240" w:lineRule="auto"/>
        <w:outlineLvl w:val="2"/>
        <w:rPr>
          <w:rFonts w:ascii="Univers Condensed" w:eastAsia="Times New Roman" w:hAnsi="Univers Condensed" w:cs="Times New Roman"/>
          <w:b/>
          <w:bCs/>
          <w:color w:val="0F172A"/>
          <w:kern w:val="0"/>
          <w:sz w:val="48"/>
          <w:szCs w:val="48"/>
          <w:u w:val="single"/>
          <w:lang w:eastAsia="en-IN"/>
          <w14:ligatures w14:val="none"/>
        </w:rPr>
      </w:pPr>
      <w:r w:rsidRPr="00120377">
        <w:rPr>
          <w:rFonts w:ascii="Univers Condensed" w:eastAsia="Times New Roman" w:hAnsi="Univers Condensed" w:cs="Times New Roman"/>
          <w:b/>
          <w:bCs/>
          <w:color w:val="0F172A"/>
          <w:kern w:val="0"/>
          <w:sz w:val="48"/>
          <w:szCs w:val="48"/>
          <w:u w:val="single"/>
          <w:lang w:eastAsia="en-IN"/>
          <w14:ligatures w14:val="none"/>
        </w:rPr>
        <w:t>Problem Statement</w:t>
      </w:r>
    </w:p>
    <w:p w14:paraId="3837E7B5" w14:textId="4626886C" w:rsidR="00120377" w:rsidRPr="00120377" w:rsidRDefault="00120377" w:rsidP="00120377">
      <w:pPr>
        <w:spacing w:after="0" w:line="240" w:lineRule="auto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Businesses face challenges in monitoring sales performance, </w:t>
      </w:r>
      <w:r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forecasting</w:t>
      </w: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 future trends, and identifying opportunities or risks due to </w:t>
      </w:r>
      <w:r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the fragmentation of</w:t>
      </w: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 data across categories (e.g., Electronics, Household), locations (e.g., Bangalore, Delhi), and time periods. The goal is to create a comprehensive tool </w:t>
      </w:r>
      <w:r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that provides real-time insights, accurate forecasting (with 99.72% accuracy), and proactive management to optimize inventory, resources, and revenue in a volatile market influenced by holidays and seasonal fluctuations</w:t>
      </w: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.</w:t>
      </w:r>
    </w:p>
    <w:p w14:paraId="53C0E484" w14:textId="77777777" w:rsidR="00120377" w:rsidRPr="00120377" w:rsidRDefault="00120377" w:rsidP="00120377">
      <w:pPr>
        <w:spacing w:before="100" w:beforeAutospacing="1" w:after="100" w:afterAutospacing="1" w:line="240" w:lineRule="auto"/>
        <w:outlineLvl w:val="2"/>
        <w:rPr>
          <w:rFonts w:ascii="Univers Condensed" w:eastAsia="Times New Roman" w:hAnsi="Univers Condensed" w:cs="Times New Roman"/>
          <w:b/>
          <w:bCs/>
          <w:color w:val="0F172A"/>
          <w:kern w:val="0"/>
          <w:sz w:val="48"/>
          <w:szCs w:val="48"/>
          <w:u w:val="single"/>
          <w:lang w:eastAsia="en-IN"/>
          <w14:ligatures w14:val="none"/>
        </w:rPr>
      </w:pPr>
      <w:r w:rsidRPr="00120377">
        <w:rPr>
          <w:rFonts w:ascii="Univers Condensed" w:eastAsia="Times New Roman" w:hAnsi="Univers Condensed" w:cs="Times New Roman"/>
          <w:b/>
          <w:bCs/>
          <w:color w:val="0F172A"/>
          <w:kern w:val="0"/>
          <w:sz w:val="48"/>
          <w:szCs w:val="48"/>
          <w:u w:val="single"/>
          <w:lang w:eastAsia="en-IN"/>
          <w14:ligatures w14:val="none"/>
        </w:rPr>
        <w:t>Approach</w:t>
      </w:r>
    </w:p>
    <w:p w14:paraId="2A0B8D06" w14:textId="336293D2" w:rsidR="00120377" w:rsidRPr="00120377" w:rsidRDefault="00120377" w:rsidP="001203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Data Collection and Integration: Aggregated data from CSV files (daily/monthly sales, drilldown details, geo-sales with lat</w:t>
      </w:r>
      <w:r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itude</w:t>
      </w: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/long</w:t>
      </w:r>
      <w:r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itude</w:t>
      </w: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, holidays) and executive summaries. Used Power BI for ETL (Extract, Transform, Load) processes.</w:t>
      </w:r>
    </w:p>
    <w:p w14:paraId="182DD654" w14:textId="77777777" w:rsidR="00120377" w:rsidRPr="00120377" w:rsidRDefault="00120377" w:rsidP="001203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Visualizations: Created donut charts for product categories, bar charts for location breakdowns, line charts for trends, and geographic maps using latitude/longitude data.</w:t>
      </w:r>
    </w:p>
    <w:p w14:paraId="3184225E" w14:textId="5B6F2A85" w:rsidR="00120377" w:rsidRPr="00120377" w:rsidRDefault="00120377" w:rsidP="001203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Forecasting: Applied time-series models (e.g., Prophet-like algorithm) to generate </w:t>
      </w:r>
      <w:r w:rsidRPr="00120377">
        <w:rPr>
          <w:rFonts w:ascii="Source Sans Pro" w:eastAsia="Times New Roman" w:hAnsi="Source Sans Pro" w:cs="Times New Roman"/>
          <w:b/>
          <w:bCs/>
          <w:color w:val="0F172A"/>
          <w:kern w:val="0"/>
          <w:sz w:val="27"/>
          <w:szCs w:val="27"/>
          <w:lang w:eastAsia="en-IN"/>
          <w14:ligatures w14:val="none"/>
        </w:rPr>
        <w:t>n-day sales</w:t>
      </w: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 and revenue predictions, including upper/lower bounds and accuracy metrics (e.g., MAPE at 160%, standard deviation of 446.214</w:t>
      </w:r>
      <w:proofErr w:type="gramStart"/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)..</w:t>
      </w:r>
      <w:proofErr w:type="gramEnd"/>
    </w:p>
    <w:p w14:paraId="35273F6C" w14:textId="77777777" w:rsidR="00120377" w:rsidRPr="00120377" w:rsidRDefault="00120377" w:rsidP="001203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AI and Advanced Analytics: Integrated machine learning for anomaly detection, heatmap matrices for category-location correlations, holiday impact analysis, and risk scoring.</w:t>
      </w:r>
    </w:p>
    <w:p w14:paraId="3DB8F2D1" w14:textId="1FCAD9C4" w:rsidR="00120377" w:rsidRDefault="00120377" w:rsidP="0012037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Tools: Power BI Desktop for dashboard creation, with interactive filters for dates, locations, and categories.</w:t>
      </w:r>
    </w:p>
    <w:p w14:paraId="44110653" w14:textId="5C2C7AFD" w:rsidR="00AD290D" w:rsidRDefault="00AD290D" w:rsidP="00AD290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</w:p>
    <w:p w14:paraId="317717C6" w14:textId="40D7D4EE" w:rsidR="00AD290D" w:rsidRDefault="00AD290D" w:rsidP="00AD290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</w:p>
    <w:p w14:paraId="33108BAC" w14:textId="77777777" w:rsidR="00AD290D" w:rsidRPr="00120377" w:rsidRDefault="00AD290D" w:rsidP="00AD290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</w:p>
    <w:p w14:paraId="7B481AEE" w14:textId="77777777" w:rsidR="00120377" w:rsidRPr="00120377" w:rsidRDefault="00120377" w:rsidP="00120377">
      <w:pPr>
        <w:spacing w:before="100" w:beforeAutospacing="1" w:after="100" w:afterAutospacing="1" w:line="240" w:lineRule="auto"/>
        <w:outlineLvl w:val="2"/>
        <w:rPr>
          <w:rFonts w:ascii="Univers Condensed" w:eastAsia="Times New Roman" w:hAnsi="Univers Condensed" w:cs="Times New Roman"/>
          <w:b/>
          <w:bCs/>
          <w:color w:val="0F172A"/>
          <w:kern w:val="0"/>
          <w:sz w:val="48"/>
          <w:szCs w:val="48"/>
          <w:u w:val="single"/>
          <w:lang w:eastAsia="en-IN"/>
          <w14:ligatures w14:val="none"/>
        </w:rPr>
      </w:pPr>
      <w:r w:rsidRPr="00120377">
        <w:rPr>
          <w:rFonts w:ascii="Univers Condensed" w:eastAsia="Times New Roman" w:hAnsi="Univers Condensed" w:cs="Times New Roman"/>
          <w:b/>
          <w:bCs/>
          <w:color w:val="0F172A"/>
          <w:kern w:val="0"/>
          <w:sz w:val="48"/>
          <w:szCs w:val="48"/>
          <w:u w:val="single"/>
          <w:lang w:eastAsia="en-IN"/>
          <w14:ligatures w14:val="none"/>
        </w:rPr>
        <w:lastRenderedPageBreak/>
        <w:t>Key Metrics</w:t>
      </w:r>
    </w:p>
    <w:p w14:paraId="183E28F4" w14:textId="77777777" w:rsidR="00120377" w:rsidRPr="00120377" w:rsidRDefault="00120377" w:rsidP="0012037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Key Metrics: Total sales quantity: 71,471 units; Total revenue: ₹4.89M; Average daily sales: ₹585.83; Top category: Electronics (19K units, 27.28% share); Top location: Bangalore.</w:t>
      </w:r>
    </w:p>
    <w:p w14:paraId="23B5E24C" w14:textId="77777777" w:rsidR="00120377" w:rsidRPr="00120377" w:rsidRDefault="00120377" w:rsidP="0012037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Sales Trends: Monthly sales: April (20,298), May (17,245), June (15,816), July (18,112). Daily sales peaked at 1,962 on April 21 and 1,962 on other high days.</w:t>
      </w:r>
    </w:p>
    <w:p w14:paraId="13B7464B" w14:textId="7E35E33B" w:rsidR="00120377" w:rsidRPr="00120377" w:rsidRDefault="00120377" w:rsidP="0012037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Forecasting Outcomes: Next </w:t>
      </w:r>
      <w:r w:rsidR="00F82559" w:rsidRPr="00F82559">
        <w:rPr>
          <w:rFonts w:ascii="Source Sans Pro" w:eastAsia="Times New Roman" w:hAnsi="Source Sans Pro" w:cs="Times New Roman"/>
          <w:b/>
          <w:bCs/>
          <w:color w:val="0F172A"/>
          <w:kern w:val="0"/>
          <w:sz w:val="27"/>
          <w:szCs w:val="27"/>
          <w:lang w:eastAsia="en-IN"/>
          <w14:ligatures w14:val="none"/>
        </w:rPr>
        <w:t>n</w:t>
      </w:r>
      <w:r w:rsidRPr="00F82559">
        <w:rPr>
          <w:rFonts w:ascii="Source Sans Pro" w:eastAsia="Times New Roman" w:hAnsi="Source Sans Pro" w:cs="Times New Roman"/>
          <w:b/>
          <w:bCs/>
          <w:color w:val="0F172A"/>
          <w:kern w:val="0"/>
          <w:sz w:val="27"/>
          <w:szCs w:val="27"/>
          <w:lang w:eastAsia="en-IN"/>
          <w14:ligatures w14:val="none"/>
        </w:rPr>
        <w:t>-day</w:t>
      </w: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 average forecasted sales: ~584 units/day; Revenue projections stable (e.g., ₹41,106 on July 31, dropping to ₹19,452 on August 1). Forecast accuracy: 99.72%, with bounds showing low volatility.</w:t>
      </w:r>
    </w:p>
    <w:p w14:paraId="79106610" w14:textId="77777777" w:rsidR="00120377" w:rsidRPr="00120377" w:rsidRDefault="00120377" w:rsidP="0012037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Geographic Insights: Bangalore led with strong Electronics sales; Heatmaps revealed correlations like high Household sales in Delhi</w:t>
      </w:r>
    </w:p>
    <w:p w14:paraId="05286435" w14:textId="77777777" w:rsidR="00120377" w:rsidRPr="00120377" w:rsidRDefault="00120377" w:rsidP="0012037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Anomaly and Holiday Impact: Detected seasonal dips (e.g., around holidays like Good Friday on April 18); AI identified a strong downward trend (-198 predicted uplift) and opportunities in Beverages.</w:t>
      </w:r>
    </w:p>
    <w:p w14:paraId="79990A69" w14:textId="77777777" w:rsidR="00120377" w:rsidRPr="00120377" w:rsidRDefault="00120377" w:rsidP="00120377">
      <w:pPr>
        <w:spacing w:before="100" w:beforeAutospacing="1" w:after="100" w:afterAutospacing="1" w:line="240" w:lineRule="auto"/>
        <w:outlineLvl w:val="2"/>
        <w:rPr>
          <w:rFonts w:ascii="Univers Condensed" w:eastAsia="Times New Roman" w:hAnsi="Univers Condensed" w:cs="Times New Roman"/>
          <w:b/>
          <w:bCs/>
          <w:color w:val="0F172A"/>
          <w:kern w:val="0"/>
          <w:sz w:val="48"/>
          <w:szCs w:val="48"/>
          <w:u w:val="single"/>
          <w:lang w:eastAsia="en-IN"/>
          <w14:ligatures w14:val="none"/>
        </w:rPr>
      </w:pPr>
      <w:r w:rsidRPr="00120377">
        <w:rPr>
          <w:rFonts w:ascii="Univers Condensed" w:eastAsia="Times New Roman" w:hAnsi="Univers Condensed" w:cs="Times New Roman"/>
          <w:b/>
          <w:bCs/>
          <w:color w:val="0F172A"/>
          <w:kern w:val="0"/>
          <w:sz w:val="48"/>
          <w:szCs w:val="48"/>
          <w:u w:val="single"/>
          <w:lang w:eastAsia="en-IN"/>
          <w14:ligatures w14:val="none"/>
        </w:rPr>
        <w:t>Project Highlights</w:t>
      </w:r>
    </w:p>
    <w:p w14:paraId="7F315115" w14:textId="4B0B530F" w:rsidR="00120377" w:rsidRPr="00120377" w:rsidRDefault="00120377" w:rsidP="0012037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Electronics dominates revenue (27.28%), accounting for ~69% of sales from </w:t>
      </w:r>
      <w:r w:rsidRPr="00A81FCA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the </w:t>
      </w: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top 3 categories, reducing risk through portfolio balance.</w:t>
      </w:r>
    </w:p>
    <w:p w14:paraId="2200850C" w14:textId="434EFD57" w:rsidR="00120377" w:rsidRPr="00120377" w:rsidRDefault="00F82559" w:rsidP="0012037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Forecasting</w:t>
      </w:r>
      <w:r w:rsidR="00120377"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 accuracy of 99.72% enables reliable </w:t>
      </w:r>
      <w:r w:rsidRPr="00F82559">
        <w:rPr>
          <w:rFonts w:ascii="Source Sans Pro" w:eastAsia="Times New Roman" w:hAnsi="Source Sans Pro" w:cs="Times New Roman"/>
          <w:b/>
          <w:bCs/>
          <w:color w:val="0F172A"/>
          <w:kern w:val="0"/>
          <w:sz w:val="27"/>
          <w:szCs w:val="27"/>
          <w:lang w:eastAsia="en-IN"/>
          <w14:ligatures w14:val="none"/>
        </w:rPr>
        <w:t>n</w:t>
      </w:r>
      <w:r w:rsidR="00120377" w:rsidRPr="00F82559">
        <w:rPr>
          <w:rFonts w:ascii="Source Sans Pro" w:eastAsia="Times New Roman" w:hAnsi="Source Sans Pro" w:cs="Times New Roman"/>
          <w:b/>
          <w:bCs/>
          <w:color w:val="0F172A"/>
          <w:kern w:val="0"/>
          <w:sz w:val="27"/>
          <w:szCs w:val="27"/>
          <w:lang w:eastAsia="en-IN"/>
          <w14:ligatures w14:val="none"/>
        </w:rPr>
        <w:t>-day</w:t>
      </w:r>
      <w:r w:rsidR="00120377"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 xml:space="preserve"> planning, with stable forecasts (e.g., 2.0K-2.6K daily range) and controlled variance for inventory optimization.</w:t>
      </w:r>
    </w:p>
    <w:p w14:paraId="08FCDEED" w14:textId="77777777" w:rsidR="00120377" w:rsidRPr="00120377" w:rsidRDefault="00120377" w:rsidP="0012037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AI-driven features like anomaly detection and holiday analysis (e.g., impact from Buddha Purnima on May 12) provide proactive alerts, identifying growth in underperforming segments like Beverages (14.13% share).</w:t>
      </w:r>
    </w:p>
    <w:p w14:paraId="6800DB19" w14:textId="77777777" w:rsidR="00120377" w:rsidRPr="00120377" w:rsidRDefault="00120377" w:rsidP="0012037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Interactive Power BI dashboard offers real-time insights, enabling dynamic filtering by date, location, and category for tailored decision-making.</w:t>
      </w:r>
    </w:p>
    <w:p w14:paraId="03E24659" w14:textId="77777777" w:rsidR="00120377" w:rsidRPr="00120377" w:rsidRDefault="00120377" w:rsidP="0012037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Geographic focus: Top cities (Bangalore, Chennai) show consistent demand; Interactive maps highlight market penetration opportunities in Kolkata and Mumbai.</w:t>
      </w:r>
    </w:p>
    <w:p w14:paraId="1AB165E7" w14:textId="77777777" w:rsidR="00120377" w:rsidRPr="00120377" w:rsidRDefault="00120377" w:rsidP="0012037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</w:pPr>
      <w:r w:rsidRPr="00120377">
        <w:rPr>
          <w:rFonts w:ascii="Source Sans Pro" w:eastAsia="Times New Roman" w:hAnsi="Source Sans Pro" w:cs="Times New Roman"/>
          <w:color w:val="0F172A"/>
          <w:kern w:val="0"/>
          <w:sz w:val="27"/>
          <w:szCs w:val="27"/>
          <w:lang w:eastAsia="en-IN"/>
          <w14:ligatures w14:val="none"/>
        </w:rPr>
        <w:t>Overall business impact: Enables data-driven decisions for resource allocation, risk mitigation, and revenue growth in a predictable sales environment.</w:t>
      </w:r>
    </w:p>
    <w:p w14:paraId="3116AB00" w14:textId="519C8443" w:rsidR="00E41D96" w:rsidRDefault="00E41D96"/>
    <w:p w14:paraId="7C8AD9C0" w14:textId="75D08BAA" w:rsidR="00AD290D" w:rsidRDefault="00AD290D"/>
    <w:p w14:paraId="5C8AEEC5" w14:textId="58F6D8B3" w:rsidR="00AD290D" w:rsidRDefault="00AD290D"/>
    <w:p w14:paraId="10E442C4" w14:textId="1FE216B9" w:rsidR="00AD290D" w:rsidRDefault="00AD290D"/>
    <w:p w14:paraId="3F8E6F8E" w14:textId="77777777" w:rsidR="00AD290D" w:rsidRDefault="00AD290D"/>
    <w:sectPr w:rsidR="00AD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5C90"/>
    <w:multiLevelType w:val="multilevel"/>
    <w:tmpl w:val="8F6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32A4"/>
    <w:multiLevelType w:val="multilevel"/>
    <w:tmpl w:val="D85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F27BB"/>
    <w:multiLevelType w:val="multilevel"/>
    <w:tmpl w:val="C6F4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77"/>
    <w:rsid w:val="000A5483"/>
    <w:rsid w:val="00120377"/>
    <w:rsid w:val="00A81FCA"/>
    <w:rsid w:val="00AC560D"/>
    <w:rsid w:val="00AD290D"/>
    <w:rsid w:val="00E41D96"/>
    <w:rsid w:val="00E46F82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6C470"/>
  <w15:chartTrackingRefBased/>
  <w15:docId w15:val="{6888FB4C-9D4F-43AE-A6D2-DB1E2E54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0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37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2977</Characters>
  <Application>Microsoft Office Word</Application>
  <DocSecurity>0</DocSecurity>
  <Lines>64</Lines>
  <Paragraphs>25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7</cp:revision>
  <dcterms:created xsi:type="dcterms:W3CDTF">2025-08-29T05:24:00Z</dcterms:created>
  <dcterms:modified xsi:type="dcterms:W3CDTF">2025-08-29T05:31:00Z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e1d1fb8d-9131-42dc-b870-a4a77a4f0d0a</vt:lpwstr>
  </property>
</Properties>
</file>