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4"/>
          <w:szCs w:val="44"/>
        </w:rPr>
        <w:t xml:space="preserve">Graveyard — Developer C — Frontend &amp; Product Lead</w:t>
      </w:r>
    </w:p>
    <w:p>
      <w:pPr>
        <w:pBdr>
          <w:bottom w:val="single" w:color="2E7D6B" w:sz="12" w:space="6"/>
        </w:pBdr>
        <w:spacing w:after="100"/>
      </w:pPr>
      <w:r>
        <w:rPr>
          <w:i/>
          <w:iCs/>
          <w:color w:val="555555"/>
          <w:sz w:val="22"/>
          <w:szCs w:val="22"/>
        </w:rPr>
        <w:t xml:space="preserve">Build guide for Frontend / Product Developer · 7-Day Timeline · Team Ignite</w:t>
      </w:r>
    </w:p>
    <w:p>
      <w:pPr>
        <w:spacing w:after="200"/>
      </w:pPr>
    </w:p>
    <w:p>
      <w:pPr>
        <w:pStyle w:val="Heading1"/>
        <w:spacing w:after="150" w:before="300"/>
      </w:pPr>
      <w:r>
        <w:rPr>
          <w:b/>
          <w:bCs/>
          <w:color w:val="1F3B57"/>
          <w:sz w:val="30"/>
          <w:szCs w:val="30"/>
        </w:rPr>
        <w:t xml:space="preserve">Your Mission</w:t>
      </w:r>
    </w:p>
    <w:p>
      <w:pPr>
        <w:spacing w:after="140"/>
      </w:pPr>
      <w:r>
        <w:rPr>
          <w:b w:val="false"/>
          <w:bCs w:val="false"/>
          <w:i w:val="false"/>
          <w:iCs w:val="false"/>
          <w:color w:val="222222"/>
          <w:sz w:val="21"/>
          <w:szCs w:val="21"/>
        </w:rPr>
        <w:t xml:space="preserve">Own the entire user-facing experience and the growth-facing surfaces (landing page, shareable cards, Product Hunt assets). Since the public launch phase depends on real people using the app, your UX quality directly determines whether Graveyard gets real traction — not just a good demo.</w:t>
      </w:r>
    </w:p>
    <w:p>
      <w:pPr>
        <w:pStyle w:val="Heading1"/>
        <w:spacing w:after="150" w:before="300"/>
      </w:pPr>
      <w:r>
        <w:rPr>
          <w:b/>
          <w:bCs/>
          <w:color w:val="1F3B57"/>
          <w:sz w:val="30"/>
          <w:szCs w:val="30"/>
        </w:rPr>
        <w:t xml:space="preserve">Features You Own</w:t>
      </w:r>
    </w:p>
    <w:p>
      <w:pPr>
        <w:spacing w:after="40" w:before="160"/>
      </w:pPr>
      <w:r>
        <w:rPr>
          <w:b/>
          <w:bCs/>
          <w:color w:val="1F3B57"/>
          <w:sz w:val="22"/>
          <w:szCs w:val="22"/>
        </w:rPr>
        <w:t xml:space="preserve">3. 10-second reason capture (UI)</w:t>
      </w:r>
    </w:p>
    <w:p>
      <w:pPr>
        <w:spacing w:after="140"/>
      </w:pPr>
      <w:r>
        <w:rPr>
          <w:b w:val="false"/>
          <w:bCs w:val="false"/>
          <w:i w:val="false"/>
          <w:iCs w:val="false"/>
          <w:color w:val="222222"/>
          <w:sz w:val="21"/>
          <w:szCs w:val="21"/>
        </w:rPr>
        <w:t xml:space="preserve">The core habit-capture flow: tap a preset tag, optional one-line text, submit in under 10 seconds. This has to be frictionless — it's the single UX decision the whole product's data quality depends on.</w:t>
      </w:r>
    </w:p>
    <w:p>
      <w:pPr>
        <w:spacing w:after="40" w:before="160"/>
      </w:pPr>
      <w:r>
        <w:rPr>
          <w:b/>
          <w:bCs/>
          <w:color w:val="1F3B57"/>
          <w:sz w:val="22"/>
          <w:szCs w:val="22"/>
        </w:rPr>
        <w:t xml:space="preserve">6. Pattern dashboard</w:t>
      </w:r>
    </w:p>
    <w:p>
      <w:pPr>
        <w:spacing w:after="140"/>
      </w:pPr>
      <w:r>
        <w:rPr>
          <w:b w:val="false"/>
          <w:bCs w:val="false"/>
          <w:i w:val="false"/>
          <w:iCs w:val="false"/>
          <w:color w:val="222222"/>
          <w:sz w:val="21"/>
          <w:szCs w:val="21"/>
        </w:rPr>
        <w:t xml:space="preserve">The main screen: stats + AI summary + (once ready) the quit-risk score. This is the emotional payoff screen — give it real design time, not leftover time.</w:t>
      </w:r>
    </w:p>
    <w:p>
      <w:pPr>
        <w:spacing w:after="40" w:before="160"/>
      </w:pPr>
      <w:r>
        <w:rPr>
          <w:b/>
          <w:bCs/>
          <w:color w:val="1F3B57"/>
          <w:sz w:val="22"/>
          <w:szCs w:val="22"/>
        </w:rPr>
        <w:t xml:space="preserve">14. Live-updating risk score (optional)</w:t>
      </w:r>
    </w:p>
    <w:p>
      <w:pPr>
        <w:spacing w:after="140"/>
      </w:pPr>
      <w:r>
        <w:rPr>
          <w:b w:val="false"/>
          <w:bCs w:val="false"/>
          <w:i w:val="false"/>
          <w:iCs w:val="false"/>
          <w:color w:val="222222"/>
          <w:sz w:val="21"/>
          <w:szCs w:val="21"/>
        </w:rPr>
        <w:t xml:space="preserve">Only build the animated/real-time (websocket) version if you're comfortably ahead of schedule by Day 5. Otherwise a score that updates on refresh is safer and still effective.</w:t>
      </w:r>
    </w:p>
    <w:p>
      <w:pPr>
        <w:spacing w:after="40" w:before="160"/>
      </w:pPr>
      <w:r>
        <w:rPr>
          <w:b/>
          <w:bCs/>
          <w:color w:val="1F3B57"/>
          <w:sz w:val="22"/>
          <w:szCs w:val="22"/>
        </w:rPr>
        <w:t xml:space="preserve">15–16. Voice note capture + auto-tag suggestion</w:t>
      </w:r>
    </w:p>
    <w:p>
      <w:pPr>
        <w:spacing w:after="140"/>
      </w:pPr>
      <w:r>
        <w:rPr>
          <w:b w:val="false"/>
          <w:bCs w:val="false"/>
          <w:i w:val="false"/>
          <w:iCs w:val="false"/>
          <w:color w:val="222222"/>
          <w:sz w:val="21"/>
          <w:szCs w:val="21"/>
        </w:rPr>
        <w:t xml:space="preserve">Stretch goal only. Web Speech API in-browser is the fast path. Skip entirely if behind schedule — text + tags alone fully satisfy the product.</w:t>
      </w:r>
    </w:p>
    <w:p>
      <w:pPr>
        <w:spacing w:after="40" w:before="160"/>
      </w:pPr>
      <w:r>
        <w:rPr>
          <w:b/>
          <w:bCs/>
          <w:color w:val="1F3B57"/>
          <w:sz w:val="22"/>
          <w:szCs w:val="22"/>
        </w:rPr>
        <w:t xml:space="preserve">17. Momentum score</w:t>
      </w:r>
    </w:p>
    <w:p>
      <w:pPr>
        <w:spacing w:after="140"/>
      </w:pPr>
      <w:r>
        <w:rPr>
          <w:b w:val="false"/>
          <w:bCs w:val="false"/>
          <w:i w:val="false"/>
          <w:iCs w:val="false"/>
          <w:color w:val="222222"/>
          <w:sz w:val="21"/>
          <w:szCs w:val="21"/>
        </w:rPr>
        <w:t xml:space="preserve">Show credit for partial progress on quit items, not just failure — reframes the dashboard from purely negative to balanced.</w:t>
      </w:r>
    </w:p>
    <w:p>
      <w:pPr>
        <w:spacing w:after="40" w:before="160"/>
      </w:pPr>
      <w:r>
        <w:rPr>
          <w:b/>
          <w:bCs/>
          <w:color w:val="1F3B57"/>
          <w:sz w:val="22"/>
          <w:szCs w:val="22"/>
        </w:rPr>
        <w:t xml:space="preserve">18. Comparison mode</w:t>
      </w:r>
    </w:p>
    <w:p>
      <w:pPr>
        <w:spacing w:after="140"/>
      </w:pPr>
      <w:r>
        <w:rPr>
          <w:b w:val="false"/>
          <w:bCs w:val="false"/>
          <w:i w:val="false"/>
          <w:iCs w:val="false"/>
          <w:color w:val="222222"/>
          <w:sz w:val="21"/>
          <w:szCs w:val="21"/>
        </w:rPr>
        <w:t xml:space="preserve">Show a new item next to the most similar past attempts, using Dev B's retrieval output, so the risk prediction feels grounded rather than arbitrary.</w:t>
      </w:r>
    </w:p>
    <w:p>
      <w:pPr>
        <w:spacing w:after="40" w:before="160"/>
      </w:pPr>
      <w:r>
        <w:rPr>
          <w:b/>
          <w:bCs/>
          <w:color w:val="1F3B57"/>
          <w:sz w:val="22"/>
          <w:szCs w:val="22"/>
        </w:rPr>
        <w:t xml:space="preserve">19. One-tap re-commit</w:t>
      </w:r>
    </w:p>
    <w:p>
      <w:pPr>
        <w:spacing w:after="140"/>
      </w:pPr>
      <w:r>
        <w:rPr>
          <w:b w:val="false"/>
          <w:bCs w:val="false"/>
          <w:i w:val="false"/>
          <w:iCs w:val="false"/>
          <w:color w:val="222222"/>
          <w:sz w:val="21"/>
          <w:szCs w:val="21"/>
        </w:rPr>
        <w:t xml:space="preserve">Let a user instantly downgrade a quit item into an easier version instead of just closing it out — shows product thinking beyond tracking failure.</w:t>
      </w:r>
    </w:p>
    <w:p>
      <w:pPr>
        <w:spacing w:after="40" w:before="160"/>
      </w:pPr>
      <w:r>
        <w:rPr>
          <w:b/>
          <w:bCs/>
          <w:color w:val="1F3B57"/>
          <w:sz w:val="22"/>
          <w:szCs w:val="22"/>
        </w:rPr>
        <w:t xml:space="preserve">Shareable pattern card + landing page</w:t>
      </w:r>
    </w:p>
    <w:p>
      <w:pPr>
        <w:spacing w:after="140"/>
      </w:pPr>
      <w:r>
        <w:rPr>
          <w:b w:val="false"/>
          <w:bCs w:val="false"/>
          <w:i w:val="false"/>
          <w:iCs w:val="false"/>
          <w:color w:val="222222"/>
          <w:sz w:val="21"/>
          <w:szCs w:val="21"/>
        </w:rPr>
        <w:t xml:space="preserve">An auto-generated shareable image of a user's top insight, for organic growth. Plus a simple public landing page and demo GIF for the Product Hunt launch.</w:t>
      </w:r>
    </w:p>
    <w:p>
      <w:pPr>
        <w:pStyle w:val="Heading1"/>
        <w:spacing w:after="150" w:before="300"/>
      </w:pPr>
      <w:r>
        <w:rPr>
          <w:b/>
          <w:bCs/>
          <w:color w:val="1F3B57"/>
          <w:sz w:val="30"/>
          <w:szCs w:val="30"/>
        </w:rPr>
        <w:t xml:space="preserve">Your 7-Day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500"/>
      </w:tblGrid>
      <w:tr>
        <w:trPr>
          <w:tblHeader/>
        </w:trPr>
        <w:tc>
          <w:tcPr>
            <w:tcW w:type="dxa" w:w="1300"/>
            <w:shd w:fill="1F3B57" w:val="clear"/>
            <w:tcMar>
              <w:top w:type="dxa" w:w="100"/>
              <w:left w:type="dxa" w:w="120"/>
              <w:bottom w:type="dxa" w:w="100"/>
              <w:right w:type="dxa" w:w="120"/>
            </w:tcMar>
          </w:tcPr>
          <w:p>
            <w:r>
              <w:rPr>
                <w:b/>
                <w:bCs/>
                <w:color w:val="FFFFFF"/>
                <w:sz w:val="19"/>
                <w:szCs w:val="19"/>
              </w:rPr>
              <w:t xml:space="preserve">Day</w:t>
            </w:r>
          </w:p>
        </w:tc>
        <w:tc>
          <w:tcPr>
            <w:tcW w:type="dxa" w:w="2200"/>
            <w:shd w:fill="1F3B57" w:val="clear"/>
            <w:tcMar>
              <w:top w:type="dxa" w:w="100"/>
              <w:left w:type="dxa" w:w="120"/>
              <w:bottom w:type="dxa" w:w="100"/>
              <w:right w:type="dxa" w:w="120"/>
            </w:tcMar>
          </w:tcPr>
          <w:p>
            <w:r>
              <w:rPr>
                <w:b/>
                <w:bCs/>
                <w:color w:val="FFFFFF"/>
                <w:sz w:val="19"/>
                <w:szCs w:val="19"/>
              </w:rPr>
              <w:t xml:space="preserve">Focus</w:t>
            </w:r>
          </w:p>
        </w:tc>
        <w:tc>
          <w:tcPr>
            <w:tcW w:type="dxa" w:w="5500"/>
            <w:shd w:fill="1F3B57" w:val="clear"/>
            <w:tcMar>
              <w:top w:type="dxa" w:w="100"/>
              <w:left w:type="dxa" w:w="120"/>
              <w:bottom w:type="dxa" w:w="100"/>
              <w:right w:type="dxa" w:w="120"/>
            </w:tcMar>
          </w:tcPr>
          <w:p>
            <w:r>
              <w:rPr>
                <w:b/>
                <w:bCs/>
                <w:color w:val="FFFFFF"/>
                <w:sz w:val="19"/>
                <w:szCs w:val="19"/>
              </w:rPr>
              <w:t xml:space="preserve">Tasks</w:t>
            </w:r>
          </w:p>
        </w:tc>
      </w:tr>
      <w:tr>
        <w:tc>
          <w:tcPr>
            <w:tcW w:type="dxa" w:w="1300"/>
            <w:tcMar>
              <w:top w:type="dxa" w:w="100"/>
              <w:left w:type="dxa" w:w="120"/>
              <w:bottom w:type="dxa" w:w="100"/>
              <w:right w:type="dxa" w:w="120"/>
            </w:tcMar>
          </w:tcPr>
          <w:p>
            <w:r>
              <w:rPr>
                <w:b w:val="false"/>
                <w:bCs w:val="false"/>
                <w:color w:val="222222"/>
                <w:sz w:val="19"/>
                <w:szCs w:val="19"/>
              </w:rPr>
              <w:t xml:space="preserve">Day 1</w:t>
            </w:r>
          </w:p>
        </w:tc>
        <w:tc>
          <w:tcPr>
            <w:tcW w:type="dxa" w:w="2200"/>
            <w:tcMar>
              <w:top w:type="dxa" w:w="100"/>
              <w:left w:type="dxa" w:w="120"/>
              <w:bottom w:type="dxa" w:w="100"/>
              <w:right w:type="dxa" w:w="120"/>
            </w:tcMar>
          </w:tcPr>
          <w:p>
            <w:r>
              <w:rPr>
                <w:b w:val="false"/>
                <w:bCs w:val="false"/>
                <w:color w:val="222222"/>
                <w:sz w:val="19"/>
                <w:szCs w:val="19"/>
              </w:rPr>
              <w:t xml:space="preserve">App shell &amp; mocked UI</w:t>
            </w:r>
          </w:p>
        </w:tc>
        <w:tc>
          <w:tcPr>
            <w:tcW w:type="dxa" w:w="5500"/>
            <w:tcMar>
              <w:top w:type="dxa" w:w="100"/>
              <w:left w:type="dxa" w:w="120"/>
              <w:bottom w:type="dxa" w:w="100"/>
              <w:right w:type="dxa" w:w="120"/>
            </w:tcMar>
          </w:tcPr>
          <w:p>
            <w:r>
              <w:rPr>
                <w:b w:val="false"/>
                <w:bCs w:val="false"/>
                <w:color w:val="222222"/>
                <w:sz w:val="19"/>
                <w:szCs w:val="19"/>
              </w:rPr>
              <w:t xml:space="preserve">Scaffold the React app: routing, layout, static log/quit UI against mocked data, using the shared API contract from Dev A.</w:t>
            </w:r>
          </w:p>
        </w:tc>
      </w:tr>
      <w:tr>
        <w:tc>
          <w:tcPr>
            <w:tcW w:type="dxa" w:w="1300"/>
            <w:tcMar>
              <w:top w:type="dxa" w:w="100"/>
              <w:left w:type="dxa" w:w="120"/>
              <w:bottom w:type="dxa" w:w="100"/>
              <w:right w:type="dxa" w:w="120"/>
            </w:tcMar>
          </w:tcPr>
          <w:p>
            <w:r>
              <w:rPr>
                <w:b w:val="false"/>
                <w:bCs w:val="false"/>
                <w:color w:val="222222"/>
                <w:sz w:val="19"/>
                <w:szCs w:val="19"/>
              </w:rPr>
              <w:t xml:space="preserve">Day 2</w:t>
            </w:r>
          </w:p>
        </w:tc>
        <w:tc>
          <w:tcPr>
            <w:tcW w:type="dxa" w:w="2200"/>
            <w:tcMar>
              <w:top w:type="dxa" w:w="100"/>
              <w:left w:type="dxa" w:w="120"/>
              <w:bottom w:type="dxa" w:w="100"/>
              <w:right w:type="dxa" w:w="120"/>
            </w:tcMar>
          </w:tcPr>
          <w:p>
            <w:r>
              <w:rPr>
                <w:b w:val="false"/>
                <w:bCs w:val="false"/>
                <w:color w:val="222222"/>
                <w:sz w:val="19"/>
                <w:szCs w:val="19"/>
              </w:rPr>
              <w:t xml:space="preserve">Real core loop</w:t>
            </w:r>
          </w:p>
        </w:tc>
        <w:tc>
          <w:tcPr>
            <w:tcW w:type="dxa" w:w="5500"/>
            <w:tcMar>
              <w:top w:type="dxa" w:w="100"/>
              <w:left w:type="dxa" w:w="120"/>
              <w:bottom w:type="dxa" w:w="100"/>
              <w:right w:type="dxa" w:w="120"/>
            </w:tcMar>
          </w:tcPr>
          <w:p>
            <w:r>
              <w:rPr>
                <w:b w:val="false"/>
                <w:bCs w:val="false"/>
                <w:color w:val="222222"/>
                <w:sz w:val="19"/>
                <w:szCs w:val="19"/>
              </w:rPr>
              <w:t xml:space="preserve">Connect the reason-capture flow to real backend endpoints. Ensure add item → quit item → capture reason works end-to-end with zero friction.</w:t>
            </w:r>
          </w:p>
        </w:tc>
      </w:tr>
      <w:tr>
        <w:tc>
          <w:tcPr>
            <w:tcW w:type="dxa" w:w="1300"/>
            <w:tcMar>
              <w:top w:type="dxa" w:w="100"/>
              <w:left w:type="dxa" w:w="120"/>
              <w:bottom w:type="dxa" w:w="100"/>
              <w:right w:type="dxa" w:w="120"/>
            </w:tcMar>
          </w:tcPr>
          <w:p>
            <w:r>
              <w:rPr>
                <w:b w:val="false"/>
                <w:bCs w:val="false"/>
                <w:color w:val="222222"/>
                <w:sz w:val="19"/>
                <w:szCs w:val="19"/>
              </w:rPr>
              <w:t xml:space="preserve">Day 3</w:t>
            </w:r>
          </w:p>
        </w:tc>
        <w:tc>
          <w:tcPr>
            <w:tcW w:type="dxa" w:w="2200"/>
            <w:tcMar>
              <w:top w:type="dxa" w:w="100"/>
              <w:left w:type="dxa" w:w="120"/>
              <w:bottom w:type="dxa" w:w="100"/>
              <w:right w:type="dxa" w:w="120"/>
            </w:tcMar>
          </w:tcPr>
          <w:p>
            <w:r>
              <w:rPr>
                <w:b w:val="false"/>
                <w:bCs w:val="false"/>
                <w:color w:val="222222"/>
                <w:sz w:val="19"/>
                <w:szCs w:val="19"/>
              </w:rPr>
              <w:t xml:space="preserve">Dashboard v1</w:t>
            </w:r>
          </w:p>
        </w:tc>
        <w:tc>
          <w:tcPr>
            <w:tcW w:type="dxa" w:w="5500"/>
            <w:tcMar>
              <w:top w:type="dxa" w:w="100"/>
              <w:left w:type="dxa" w:w="120"/>
              <w:bottom w:type="dxa" w:w="100"/>
              <w:right w:type="dxa" w:w="120"/>
            </w:tcMar>
          </w:tcPr>
          <w:p>
            <w:r>
              <w:rPr>
                <w:b w:val="false"/>
                <w:bCs w:val="false"/>
                <w:color w:val="222222"/>
                <w:sz w:val="19"/>
                <w:szCs w:val="19"/>
              </w:rPr>
              <w:t xml:space="preserve">Build the pattern dashboard UI against real stats + AI summary endpoints. Start the quit-risk score UI once Dev B's endpoint is ready.</w:t>
            </w:r>
          </w:p>
        </w:tc>
      </w:tr>
      <w:tr>
        <w:tc>
          <w:tcPr>
            <w:tcW w:type="dxa" w:w="1300"/>
            <w:tcMar>
              <w:top w:type="dxa" w:w="100"/>
              <w:left w:type="dxa" w:w="120"/>
              <w:bottom w:type="dxa" w:w="100"/>
              <w:right w:type="dxa" w:w="120"/>
            </w:tcMar>
          </w:tcPr>
          <w:p>
            <w:r>
              <w:rPr>
                <w:b w:val="false"/>
                <w:bCs w:val="false"/>
                <w:color w:val="222222"/>
                <w:sz w:val="19"/>
                <w:szCs w:val="19"/>
              </w:rPr>
              <w:t xml:space="preserve">Day 4</w:t>
            </w:r>
          </w:p>
        </w:tc>
        <w:tc>
          <w:tcPr>
            <w:tcW w:type="dxa" w:w="2200"/>
            <w:tcMar>
              <w:top w:type="dxa" w:w="100"/>
              <w:left w:type="dxa" w:w="120"/>
              <w:bottom w:type="dxa" w:w="100"/>
              <w:right w:type="dxa" w:w="120"/>
            </w:tcMar>
          </w:tcPr>
          <w:p>
            <w:r>
              <w:rPr>
                <w:b w:val="false"/>
                <w:bCs w:val="false"/>
                <w:color w:val="222222"/>
                <w:sz w:val="19"/>
                <w:szCs w:val="19"/>
              </w:rPr>
              <w:t xml:space="preserve">Depth features</w:t>
            </w:r>
          </w:p>
        </w:tc>
        <w:tc>
          <w:tcPr>
            <w:tcW w:type="dxa" w:w="5500"/>
            <w:tcMar>
              <w:top w:type="dxa" w:w="100"/>
              <w:left w:type="dxa" w:w="120"/>
              <w:bottom w:type="dxa" w:w="100"/>
              <w:right w:type="dxa" w:w="120"/>
            </w:tcMar>
          </w:tcPr>
          <w:p>
            <w:r>
              <w:rPr>
                <w:b w:val="false"/>
                <w:bCs w:val="false"/>
                <w:color w:val="222222"/>
                <w:sz w:val="19"/>
                <w:szCs w:val="19"/>
              </w:rPr>
              <w:t xml:space="preserve">Build momentum score and comparison mode using Dev B's retrieval output. Begin the public landing page for the launch phase.</w:t>
            </w:r>
          </w:p>
        </w:tc>
      </w:tr>
      <w:tr>
        <w:tc>
          <w:tcPr>
            <w:tcW w:type="dxa" w:w="1300"/>
            <w:tcMar>
              <w:top w:type="dxa" w:w="100"/>
              <w:left w:type="dxa" w:w="120"/>
              <w:bottom w:type="dxa" w:w="100"/>
              <w:right w:type="dxa" w:w="120"/>
            </w:tcMar>
          </w:tcPr>
          <w:p>
            <w:r>
              <w:rPr>
                <w:b w:val="false"/>
                <w:bCs w:val="false"/>
                <w:color w:val="222222"/>
                <w:sz w:val="19"/>
                <w:szCs w:val="19"/>
              </w:rPr>
              <w:t xml:space="preserve">Day 5</w:t>
            </w:r>
          </w:p>
        </w:tc>
        <w:tc>
          <w:tcPr>
            <w:tcW w:type="dxa" w:w="2200"/>
            <w:tcMar>
              <w:top w:type="dxa" w:w="100"/>
              <w:left w:type="dxa" w:w="120"/>
              <w:bottom w:type="dxa" w:w="100"/>
              <w:right w:type="dxa" w:w="120"/>
            </w:tcMar>
          </w:tcPr>
          <w:p>
            <w:r>
              <w:rPr>
                <w:b w:val="false"/>
                <w:bCs w:val="false"/>
                <w:color w:val="222222"/>
                <w:sz w:val="19"/>
                <w:szCs w:val="19"/>
              </w:rPr>
              <w:t xml:space="preserve">Growth surfaces</w:t>
            </w:r>
          </w:p>
        </w:tc>
        <w:tc>
          <w:tcPr>
            <w:tcW w:type="dxa" w:w="5500"/>
            <w:tcMar>
              <w:top w:type="dxa" w:w="100"/>
              <w:left w:type="dxa" w:w="120"/>
              <w:bottom w:type="dxa" w:w="100"/>
              <w:right w:type="dxa" w:w="120"/>
            </w:tcMar>
          </w:tcPr>
          <w:p>
            <w:r>
              <w:rPr>
                <w:b w:val="false"/>
                <w:bCs w:val="false"/>
                <w:color w:val="222222"/>
                <w:sz w:val="19"/>
                <w:szCs w:val="19"/>
              </w:rPr>
              <w:t xml:space="preserve">Build the shareable pattern card. Finish the landing page and demo GIF. Add one-tap re-commit. Decide go/no-go on live-updating risk score.</w:t>
            </w:r>
          </w:p>
        </w:tc>
      </w:tr>
      <w:tr>
        <w:tc>
          <w:tcPr>
            <w:tcW w:type="dxa" w:w="1300"/>
            <w:tcMar>
              <w:top w:type="dxa" w:w="100"/>
              <w:left w:type="dxa" w:w="120"/>
              <w:bottom w:type="dxa" w:w="100"/>
              <w:right w:type="dxa" w:w="120"/>
            </w:tcMar>
          </w:tcPr>
          <w:p>
            <w:r>
              <w:rPr>
                <w:b w:val="false"/>
                <w:bCs w:val="false"/>
                <w:color w:val="222222"/>
                <w:sz w:val="19"/>
                <w:szCs w:val="19"/>
              </w:rPr>
              <w:t xml:space="preserve">Day 6</w:t>
            </w:r>
          </w:p>
        </w:tc>
        <w:tc>
          <w:tcPr>
            <w:tcW w:type="dxa" w:w="2200"/>
            <w:tcMar>
              <w:top w:type="dxa" w:w="100"/>
              <w:left w:type="dxa" w:w="120"/>
              <w:bottom w:type="dxa" w:w="100"/>
              <w:right w:type="dxa" w:w="120"/>
            </w:tcMar>
          </w:tcPr>
          <w:p>
            <w:r>
              <w:rPr>
                <w:b w:val="false"/>
                <w:bCs w:val="false"/>
                <w:color w:val="222222"/>
                <w:sz w:val="19"/>
                <w:szCs w:val="19"/>
              </w:rPr>
              <w:t xml:space="preserve">Polish &amp; mobile</w:t>
            </w:r>
          </w:p>
        </w:tc>
        <w:tc>
          <w:tcPr>
            <w:tcW w:type="dxa" w:w="5500"/>
            <w:tcMar>
              <w:top w:type="dxa" w:w="100"/>
              <w:left w:type="dxa" w:w="120"/>
              <w:bottom w:type="dxa" w:w="100"/>
              <w:right w:type="dxa" w:w="120"/>
            </w:tcMar>
          </w:tcPr>
          <w:p>
            <w:r>
              <w:rPr>
                <w:b w:val="false"/>
                <w:bCs w:val="false"/>
                <w:color w:val="222222"/>
                <w:sz w:val="19"/>
                <w:szCs w:val="19"/>
              </w:rPr>
              <w:t xml:space="preserve">Full visual polish pass — this most affects judge first impressions in a 3-minute demo. Fix mobile layout breaks; test on a real phone.</w:t>
            </w:r>
          </w:p>
        </w:tc>
      </w:tr>
      <w:tr>
        <w:tc>
          <w:tcPr>
            <w:tcW w:type="dxa" w:w="1300"/>
            <w:tcMar>
              <w:top w:type="dxa" w:w="100"/>
              <w:left w:type="dxa" w:w="120"/>
              <w:bottom w:type="dxa" w:w="100"/>
              <w:right w:type="dxa" w:w="120"/>
            </w:tcMar>
          </w:tcPr>
          <w:p>
            <w:r>
              <w:rPr>
                <w:b w:val="false"/>
                <w:bCs w:val="false"/>
                <w:color w:val="222222"/>
                <w:sz w:val="19"/>
                <w:szCs w:val="19"/>
              </w:rPr>
              <w:t xml:space="preserve">Day 7</w:t>
            </w:r>
          </w:p>
        </w:tc>
        <w:tc>
          <w:tcPr>
            <w:tcW w:type="dxa" w:w="2200"/>
            <w:tcMar>
              <w:top w:type="dxa" w:w="100"/>
              <w:left w:type="dxa" w:w="120"/>
              <w:bottom w:type="dxa" w:w="100"/>
              <w:right w:type="dxa" w:w="120"/>
            </w:tcMar>
          </w:tcPr>
          <w:p>
            <w:r>
              <w:rPr>
                <w:b w:val="false"/>
                <w:bCs w:val="false"/>
                <w:color w:val="222222"/>
                <w:sz w:val="19"/>
                <w:szCs w:val="19"/>
              </w:rPr>
              <w:t xml:space="preserve">Demo &amp; Product Hunt</w:t>
            </w:r>
          </w:p>
        </w:tc>
        <w:tc>
          <w:tcPr>
            <w:tcW w:type="dxa" w:w="5500"/>
            <w:tcMar>
              <w:top w:type="dxa" w:w="100"/>
              <w:left w:type="dxa" w:w="120"/>
              <w:bottom w:type="dxa" w:w="100"/>
              <w:right w:type="dxa" w:w="120"/>
            </w:tcMar>
          </w:tcPr>
          <w:p>
            <w:r>
              <w:rPr>
                <w:b w:val="false"/>
                <w:bCs w:val="false"/>
                <w:color w:val="222222"/>
                <w:sz w:val="19"/>
                <w:szCs w:val="19"/>
              </w:rPr>
              <w:t xml:space="preserve">Full team dry run of the live demo script against a clock. Finalize Product Hunt page copy, tagline, and first comment.</w:t>
            </w:r>
          </w:p>
        </w:tc>
      </w:tr>
    </w:tbl>
    <w:p>
      <w:pPr>
        <w:pStyle w:val="Heading1"/>
        <w:spacing w:after="150" w:before="300"/>
      </w:pPr>
      <w:r>
        <w:rPr>
          <w:b/>
          <w:bCs/>
          <w:color w:val="1F3B57"/>
          <w:sz w:val="30"/>
          <w:szCs w:val="30"/>
        </w:rPr>
        <w:t xml:space="preserve">Coordination Notes</w:t>
      </w:r>
    </w:p>
    <w:p>
      <w:pPr>
        <w:pStyle w:val="ListParagraph"/>
        <w:numPr>
          <w:ilvl w:val="0"/>
          <w:numId w:val="2"/>
        </w:numPr>
        <w:spacing w:after="80"/>
      </w:pPr>
      <w:r>
        <w:rPr>
          <w:sz w:val="21"/>
          <w:szCs w:val="21"/>
        </w:rPr>
        <w:t xml:space="preserve"/>
      </w:r>
      <w:r>
        <w:rPr>
          <w:sz w:val="21"/>
          <w:szCs w:val="21"/>
        </w:rPr>
        <w:t xml:space="preserve">The 10-second reason-capture flow is the single most important UX surface in the product — protect its simplicity even as other features get added around it.</w:t>
      </w:r>
    </w:p>
    <w:p>
      <w:pPr>
        <w:pStyle w:val="ListParagraph"/>
        <w:numPr>
          <w:ilvl w:val="0"/>
          <w:numId w:val="2"/>
        </w:numPr>
        <w:spacing w:after="80"/>
      </w:pPr>
      <w:r>
        <w:rPr>
          <w:sz w:val="21"/>
          <w:szCs w:val="21"/>
        </w:rPr>
        <w:t xml:space="preserve"/>
      </w:r>
      <w:r>
        <w:rPr>
          <w:sz w:val="21"/>
          <w:szCs w:val="21"/>
        </w:rPr>
        <w:t xml:space="preserve">Build dashboard UI against Dev A's mocked endpoint shapes from Day 1 so you're never blocked waiting on the backend or AI layer.</w:t>
      </w:r>
    </w:p>
    <w:p>
      <w:pPr>
        <w:pStyle w:val="ListParagraph"/>
        <w:numPr>
          <w:ilvl w:val="0"/>
          <w:numId w:val="2"/>
        </w:numPr>
        <w:spacing w:after="80"/>
      </w:pPr>
      <w:r>
        <w:rPr>
          <w:sz w:val="21"/>
          <w:szCs w:val="21"/>
        </w:rPr>
        <w:t xml:space="preserve"/>
      </w:r>
      <w:r>
        <w:rPr>
          <w:sz w:val="21"/>
          <w:szCs w:val="21"/>
        </w:rPr>
        <w:t xml:space="preserve">Own the Product Hunt and landing-page assets starting Day 4 — this is calendar-time-dependent work, not just coding hours, so start early.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2026-08-19T19:37:07.376Z</dcterms:created>
  <dcterms:modified xsi:type="dcterms:W3CDTF">2026-08-19T19:37:07.376Z</dcterms:modified>
</cp:coreProperties>
</file>

<file path=docProps/custom.xml><?xml version="1.0" encoding="utf-8"?>
<Properties xmlns="http://schemas.openxmlformats.org/officeDocument/2006/custom-properties" xmlns:vt="http://schemas.openxmlformats.org/officeDocument/2006/docPropsVTypes"/>
</file>