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69" w:rsidRPr="00741869" w:rsidRDefault="00741869" w:rsidP="00741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Charts and Analysis</w:t>
      </w:r>
    </w:p>
    <w:p w:rsidR="00741869" w:rsidRPr="00741869" w:rsidRDefault="00741869" w:rsidP="00741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Data Inspection: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 xml:space="preserve">The dataset "Telco Customer Churn" was </w:t>
      </w:r>
      <w:bookmarkStart w:id="0" w:name="_GoBack"/>
      <w:bookmarkEnd w:id="0"/>
      <w:r w:rsidRPr="00741869">
        <w:rPr>
          <w:rFonts w:ascii="Times New Roman" w:eastAsia="Times New Roman" w:hAnsi="Times New Roman" w:cs="Times New Roman"/>
          <w:sz w:val="24"/>
          <w:szCs w:val="24"/>
        </w:rPr>
        <w:t>for analysis.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 xml:space="preserve">Key libraries used: pandas (for data manipulation), </w:t>
      </w:r>
      <w:proofErr w:type="spellStart"/>
      <w:r w:rsidRPr="00741869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41869">
        <w:rPr>
          <w:rFonts w:ascii="Times New Roman" w:eastAsia="Times New Roman" w:hAnsi="Times New Roman" w:cs="Times New Roman"/>
          <w:sz w:val="24"/>
          <w:szCs w:val="24"/>
        </w:rPr>
        <w:t xml:space="preserve"> (for numerical operations), </w:t>
      </w:r>
      <w:proofErr w:type="spellStart"/>
      <w:r w:rsidRPr="00741869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74186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41869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741869">
        <w:rPr>
          <w:rFonts w:ascii="Times New Roman" w:eastAsia="Times New Roman" w:hAnsi="Times New Roman" w:cs="Times New Roman"/>
          <w:sz w:val="24"/>
          <w:szCs w:val="24"/>
        </w:rPr>
        <w:t xml:space="preserve"> (for visualization).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The initial inspection involved checking the dataset’s structure, including columns, data types, and missing values.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Summary statistics revealed key metrics about customer attributes like tenure, monthly charges, and total charges. The dataset consisted of 7,043 rows and 21 columns.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Missing values were identified in the "Total Charges" column, accounting for 0.15% of the dataset.</w:t>
      </w:r>
    </w:p>
    <w:p w:rsidR="00741869" w:rsidRPr="00741869" w:rsidRDefault="00741869" w:rsidP="00741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Multiple visualizations were created to analyze patterns in the data: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Histogram/Bar Charts: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Churn distribution: Approximately 26.5% of customers churned, while 73.5% were retained.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Contract types: 55% of customers were on month-to-month contracts, 28% on one-year contracts, and 17% on two-year contracts.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Payment methods: Electronic checks accounted for 34% of payments, followed by credit cards (29%), bank transfers (22%), and mailed checks (15%).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Box Plots: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Monthly charges for churned customers had a median of $79 compared to $64 for retained customers.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Tenure for churned customers was significantly lower (median of 11 months) compared to retained customers (median of 55 months).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Heatmaps</w:t>
      </w:r>
      <w:proofErr w:type="spellEnd"/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Correlation matrix showed strong relationships between tenure, contract type, and churn status.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Plots: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Highlighted trends between tenure and monthly charges, showing higher churn rates among short-tenured, high-paying customers.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Charts:</w:t>
      </w:r>
    </w:p>
    <w:p w:rsidR="00741869" w:rsidRPr="00741869" w:rsidRDefault="00741869" w:rsidP="00741869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Churn vs. retention: 26.5% churned, 73.5% retained, emphasizing the need for retention strategies.</w:t>
      </w:r>
    </w:p>
    <w:p w:rsidR="00741869" w:rsidRPr="00741869" w:rsidRDefault="00741869" w:rsidP="00741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Insights: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Tenure and Charges: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Customers with shorter tenures (less than 12 months) and higher monthly charges (over $70) are 60% more likely to churn.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Types: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Month-to-month contracts have a churn rate of 43%, compared to 11% for one-year contracts and 3% for two-year contracts.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Payment Methods: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Customers using electronic checks have a churn rate of 40%, significantly higher than other payment methods.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Impact: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Customers subscribed to internet services, especially streaming services, have a churn rate 20% lower than those without.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Demographics:</w:t>
      </w:r>
    </w:p>
    <w:p w:rsidR="00741869" w:rsidRPr="00741869" w:rsidRDefault="00741869" w:rsidP="0074186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Gender and senior citizen status show minimal impact on churn, with nearly equal churn rates for both genders.</w:t>
      </w:r>
    </w:p>
    <w:p w:rsidR="00741869" w:rsidRPr="00741869" w:rsidRDefault="00741869" w:rsidP="00741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Preprocessing: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Missing values in "Total Charges" were imputed using the median for accuracy.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Categorical variables (e.g., contract type, payment method) were encoded using one-hot encoding.</w:t>
      </w:r>
    </w:p>
    <w:p w:rsidR="00741869" w:rsidRPr="00741869" w:rsidRDefault="00741869" w:rsidP="00741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Outliers in numerical features like monthly charges were capped to prevent skewed analyses.</w:t>
      </w:r>
    </w:p>
    <w:p w:rsidR="00741869" w:rsidRPr="00741869" w:rsidRDefault="000A7AB8" w:rsidP="00741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41869" w:rsidRPr="00741869" w:rsidRDefault="00741869" w:rsidP="00741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 Summary:</w:t>
      </w:r>
    </w:p>
    <w:p w:rsidR="00741869" w:rsidRPr="00741869" w:rsidRDefault="00741869" w:rsidP="00741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This analysis of the "Telco Customer Churn" dataset provided valuable insights into customer retention patterns and potential factors driving churn. Key findings include:</w:t>
      </w:r>
    </w:p>
    <w:p w:rsidR="00741869" w:rsidRPr="00741869" w:rsidRDefault="00741869" w:rsidP="00741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Churn Characteristics: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Customers on month-to-month contracts are over 4 times more likely to churn compared to those on two-year contracts.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Electronic check users show the highest churn rate at 40%.</w:t>
      </w:r>
    </w:p>
    <w:p w:rsidR="00741869" w:rsidRPr="00741869" w:rsidRDefault="00741869" w:rsidP="00741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Numerical Insights: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60% of customers with high monthly charges (over $70) and short tenures (less than 12 months) churned.</w:t>
      </w:r>
    </w:p>
    <w:p w:rsidR="00741869" w:rsidRPr="00741869" w:rsidRDefault="00741869" w:rsidP="00741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Service Features: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Customers with bundled services, like internet and streaming, have a churn rate 20% lower than those without.</w:t>
      </w:r>
    </w:p>
    <w:p w:rsidR="00741869" w:rsidRPr="00741869" w:rsidRDefault="00741869" w:rsidP="00741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Recommendations: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Encourage long-term contracts with discounts or incentives to reduce churn.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Focus retention efforts on short-tenured customers with high monthly charges by offering personalized discounts.</w:t>
      </w:r>
    </w:p>
    <w:p w:rsidR="00741869" w:rsidRPr="00741869" w:rsidRDefault="00741869" w:rsidP="00741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Promote payment methods with lower churn rates, such as credit cards and bank transfers.</w:t>
      </w:r>
    </w:p>
    <w:p w:rsidR="00741869" w:rsidRPr="00741869" w:rsidRDefault="00741869" w:rsidP="00741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869">
        <w:rPr>
          <w:rFonts w:ascii="Times New Roman" w:eastAsia="Times New Roman" w:hAnsi="Times New Roman" w:cs="Times New Roman"/>
          <w:sz w:val="24"/>
          <w:szCs w:val="24"/>
        </w:rPr>
        <w:t>These insights, supported by visual evidence from charts and statistical summaries, offer actionable directions for reducing customer churn.</w:t>
      </w:r>
    </w:p>
    <w:p w:rsidR="00B43CC9" w:rsidRDefault="00B43CC9"/>
    <w:sectPr w:rsidR="00B4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74A"/>
    <w:multiLevelType w:val="multilevel"/>
    <w:tmpl w:val="C338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33862"/>
    <w:multiLevelType w:val="multilevel"/>
    <w:tmpl w:val="73A4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816F2"/>
    <w:multiLevelType w:val="multilevel"/>
    <w:tmpl w:val="DE9A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47AB1"/>
    <w:multiLevelType w:val="multilevel"/>
    <w:tmpl w:val="4980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A06ED"/>
    <w:multiLevelType w:val="multilevel"/>
    <w:tmpl w:val="B250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946D5"/>
    <w:multiLevelType w:val="multilevel"/>
    <w:tmpl w:val="2BD8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69"/>
    <w:rsid w:val="000A7AB8"/>
    <w:rsid w:val="00170B11"/>
    <w:rsid w:val="00741869"/>
    <w:rsid w:val="00B4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BF6E"/>
  <w15:chartTrackingRefBased/>
  <w15:docId w15:val="{57133542-2CFE-4F22-AE81-ADDA769C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2025-02-28T14:49:00Z</dcterms:created>
  <dcterms:modified xsi:type="dcterms:W3CDTF">2025-02-28T14:49:00Z</dcterms:modified>
</cp:coreProperties>
</file>