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69" w:rsidRPr="00741869" w:rsidRDefault="00741869" w:rsidP="00741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Charts and Analysis</w:t>
      </w:r>
      <w:bookmarkStart w:id="0" w:name="_GoBack"/>
      <w:bookmarkEnd w:id="0"/>
    </w:p>
    <w:p w:rsidR="00741869" w:rsidRPr="00741869" w:rsidRDefault="00741869" w:rsidP="00741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Data Inspection: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The dataset "Telco Customer Churn" was loaded for analysis.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 xml:space="preserve">Key libraries used: pandas (for data manipulation), </w:t>
      </w:r>
      <w:proofErr w:type="spellStart"/>
      <w:r w:rsidRPr="00741869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41869">
        <w:rPr>
          <w:rFonts w:ascii="Times New Roman" w:eastAsia="Times New Roman" w:hAnsi="Times New Roman" w:cs="Times New Roman"/>
          <w:sz w:val="24"/>
          <w:szCs w:val="24"/>
        </w:rPr>
        <w:t xml:space="preserve"> (for numerical operations), </w:t>
      </w:r>
      <w:proofErr w:type="spellStart"/>
      <w:r w:rsidRPr="00741869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7418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41869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741869">
        <w:rPr>
          <w:rFonts w:ascii="Times New Roman" w:eastAsia="Times New Roman" w:hAnsi="Times New Roman" w:cs="Times New Roman"/>
          <w:sz w:val="24"/>
          <w:szCs w:val="24"/>
        </w:rPr>
        <w:t xml:space="preserve"> (for visualization).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The initial inspection involved checking the dataset’s structure, including columns, data types, and missing values.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Summary statistics revealed key metrics about customer attributes like tenure, monthly charges, and total charges. The dataset consisted of 7,043 rows and 21 columns.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Missing values were identified in the "Total Charges" column, accounting for 0.15% of the dataset.</w:t>
      </w:r>
    </w:p>
    <w:p w:rsidR="00741869" w:rsidRPr="00741869" w:rsidRDefault="00741869" w:rsidP="00741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Multiple visualizations were created to analyze patterns in the data: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Histogram/Bar Charts: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Churn distribution: Approximately 26.5% of customers churned, while 73.5% were retained.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Contract types: 55% of customers were on month-to-month contracts, 28% on one-year contracts, and 17% on two-year contracts.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Payment methods: Electronic checks accounted for 34% of payments, followed by credit cards (29%), bank transfers (22%), and mailed checks (15%).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Box Plots: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Monthly charges for churned customers had a median of $79 compared to $64 for retained customers.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Tenure for churned customers was significantly lower (median of 11 months) compared to retained customers (median of 55 months).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Heatmaps</w:t>
      </w:r>
      <w:proofErr w:type="spellEnd"/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Correlation matrix showed strong relationships between tenure, contract type, and churn status.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Plots: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Highlighted trends between tenure and monthly charges, showing higher churn rates among short-tenured, high-paying customers.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Charts: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Churn vs. retention: 26.5% churned, 73.5% retained, emphasizing the need for retention strategies.</w:t>
      </w:r>
    </w:p>
    <w:p w:rsidR="00741869" w:rsidRPr="00741869" w:rsidRDefault="00741869" w:rsidP="00741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Insights: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Tenure and Charges: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Customers with shorter tenures (less than 12 months) and higher monthly charges (over $70) are 60% more likely to churn.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Types: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Month-to-month contracts have a churn rate of 43%, compared to 11% for one-year contracts and 3% for two-year contracts.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Payment Methods: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Customers using electronic checks have a churn rate of 40%, significantly higher than other payment methods.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Impact: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Customers subscribed to internet services, especially streaming services, have a churn rate 20% lower than those without.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Gender and senior citizen status show minimal impact on churn, with nearly equal churn rates for both genders.</w:t>
      </w:r>
    </w:p>
    <w:p w:rsidR="00741869" w:rsidRPr="00741869" w:rsidRDefault="00741869" w:rsidP="00741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Preprocessing: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Missing values in "Total Charges" were imputed using the median for accuracy.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Categorical variables (e.g., contract type, payment method) were encoded using one-hot encoding.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Outliers in numerical features like monthly charges were capped to prevent skewed analyses.</w:t>
      </w:r>
    </w:p>
    <w:p w:rsidR="00741869" w:rsidRPr="00741869" w:rsidRDefault="00741869" w:rsidP="00741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41869" w:rsidRPr="00741869" w:rsidRDefault="00741869" w:rsidP="00741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Summary:</w:t>
      </w:r>
    </w:p>
    <w:p w:rsidR="00741869" w:rsidRPr="00741869" w:rsidRDefault="00741869" w:rsidP="00741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This analysis of the "Telco Customer Churn" dataset provided valuable insights into customer retention patterns and potential factors driving churn. Key findings include:</w:t>
      </w:r>
    </w:p>
    <w:p w:rsidR="00741869" w:rsidRPr="00741869" w:rsidRDefault="00741869" w:rsidP="00741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Churn Characteristics: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Customers on month-to-month contracts are over 4 times more likely to churn compared to those on two-year contracts.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Electronic check users show the highest churn rate at 40%.</w:t>
      </w:r>
    </w:p>
    <w:p w:rsidR="00741869" w:rsidRPr="00741869" w:rsidRDefault="00741869" w:rsidP="00741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 Insights: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60% of customers with high monthly charges (over $70) and short tenures (less than 12 months) churned.</w:t>
      </w:r>
    </w:p>
    <w:p w:rsidR="00741869" w:rsidRPr="00741869" w:rsidRDefault="00741869" w:rsidP="00741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Service Features: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Customers with bundled services, like internet and streaming, have a churn rate 20% lower than those without.</w:t>
      </w:r>
    </w:p>
    <w:p w:rsidR="00741869" w:rsidRPr="00741869" w:rsidRDefault="00741869" w:rsidP="00741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Encourage long-term contracts with discounts or incentives to reduce churn.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Focus retention efforts on short-tenured customers with high monthly charges by offering personalized discounts.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Promote payment methods with lower churn rates, such as credit cards and bank transfers.</w:t>
      </w:r>
    </w:p>
    <w:p w:rsidR="00741869" w:rsidRPr="00741869" w:rsidRDefault="00741869" w:rsidP="00741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These insights, supported by visual evidence from charts and statistical summaries, offer actionable directions for reducing customer churn.</w:t>
      </w:r>
    </w:p>
    <w:p w:rsidR="00B43CC9" w:rsidRDefault="00B43CC9"/>
    <w:sectPr w:rsidR="00B4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74A"/>
    <w:multiLevelType w:val="multilevel"/>
    <w:tmpl w:val="C338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33862"/>
    <w:multiLevelType w:val="multilevel"/>
    <w:tmpl w:val="73A4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816F2"/>
    <w:multiLevelType w:val="multilevel"/>
    <w:tmpl w:val="DE9A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47AB1"/>
    <w:multiLevelType w:val="multilevel"/>
    <w:tmpl w:val="4980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A06ED"/>
    <w:multiLevelType w:val="multilevel"/>
    <w:tmpl w:val="B250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946D5"/>
    <w:multiLevelType w:val="multilevel"/>
    <w:tmpl w:val="2BD8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69"/>
    <w:rsid w:val="00741869"/>
    <w:rsid w:val="00B4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58D2"/>
  <w15:chartTrackingRefBased/>
  <w15:docId w15:val="{57133542-2CFE-4F22-AE81-ADDA769C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2025-01-28T16:18:00Z</dcterms:created>
  <dcterms:modified xsi:type="dcterms:W3CDTF">2025-01-28T16:27:00Z</dcterms:modified>
</cp:coreProperties>
</file>