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VStudyOnline Revenue Model</w:t>
        <w:br/>
        <w:t>Competitor Comparison &amp; Suggestions</w:t>
      </w:r>
    </w:p>
    <w:p>
      <w:r>
        <w:rPr>
          <w:i/>
          <w:color w:val="5B6573"/>
        </w:rPr>
        <w:t>Focus: how the platform / Super Admin earns money, compared with popular competitors.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7F4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3153"/>
                <w:sz w:val="20"/>
              </w:rPr>
              <w:t>CURRENT MODEL  •  ₹0 standard publishing fee  •  80% instructor / 20% VStudyOnline on eligible sales</w:t>
            </w:r>
          </w:p>
        </w:tc>
      </w:tr>
    </w:tbl>
    <w:p>
      <w:pPr>
        <w:pStyle w:val="Heading1"/>
      </w:pPr>
      <w:r>
        <w:t>1. How VStudyOnline earns</w:t>
      </w:r>
    </w:p>
    <w:p>
      <w:r>
        <w:t>In the current model described by your code evidence, students buy an eligible learning product. The instructor receives 80% of the eligible sale amount, and VStudyOnline keeps 20% as platform commission. Instructors can publish standard courses for free. Platform commission is revenue—not net profit—because payment processing, refunds, taxes and operating costs may still apply.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168"/>
        <w:gridCol w:w="3312"/>
      </w:tblGrid>
      <w:tr>
        <w:trPr>
          <w:cantSplit/>
        </w:trPr>
        <w:tc>
          <w:tcPr>
            <w:tcW w:type="dxa" w:w="3456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 student payment</w:t>
            </w:r>
          </w:p>
        </w:tc>
        <w:tc>
          <w:tcPr>
            <w:tcW w:type="dxa" w:w="3456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Instructor receives (80%)</w:t>
            </w:r>
          </w:p>
        </w:tc>
        <w:tc>
          <w:tcPr>
            <w:tcW w:type="dxa" w:w="3456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VStudyOnline commission (20%)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₹500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₹400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₹100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₹1,000</w:t>
            </w:r>
          </w:p>
        </w:tc>
        <w:tc>
          <w:tcPr>
            <w:tcW w:type="dxa" w:w="316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₹800</w:t>
            </w:r>
          </w:p>
        </w:tc>
        <w:tc>
          <w:tcPr>
            <w:tcW w:type="dxa" w:w="331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₹200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₹2,000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₹1,600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₹400</w:t>
            </w:r>
          </w:p>
        </w:tc>
      </w:tr>
    </w:tbl>
    <w:p/>
    <w:p>
      <w:pPr>
        <w:pStyle w:val="Heading1"/>
      </w:pPr>
      <w:r>
        <w:t>2. Simple competitor comparison</w:t>
      </w:r>
    </w:p>
    <w:p>
      <w:r>
        <w:t>These platforms use different business models. Marketplace commission is not directly equivalent to a creator-software subscription, so compare the overall cost—not just the percentage.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3744"/>
      </w:tblGrid>
      <w:tr>
        <w:trPr>
          <w:cantSplit/>
        </w:trPr>
        <w:tc>
          <w:tcPr>
            <w:tcW w:type="dxa" w:w="3456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Platform</w:t>
            </w:r>
          </w:p>
        </w:tc>
        <w:tc>
          <w:tcPr>
            <w:tcW w:type="dxa" w:w="3456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How the platform earns</w:t>
            </w:r>
          </w:p>
        </w:tc>
        <w:tc>
          <w:tcPr>
            <w:tcW w:type="dxa" w:w="3456"/>
            <w:vAlign w:val="center"/>
            <w:shd w:fill="18315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it means for VStudyOnline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VStudyOnline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20% commission on eligible sales; no standard publishing fee.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Simple marketplace model. Instructor keeps 80%.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Udemy</w:t>
            </w:r>
          </w:p>
        </w:tc>
        <w:tc>
          <w:tcPr>
            <w:tcW w:type="dxa" w:w="432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fee to create/host a course. Instructor receives 97% of net revenue from their own coupon/referral sales, and 37% from other marketplace sales under its published rules.</w:t>
            </w:r>
          </w:p>
        </w:tc>
        <w:tc>
          <w:tcPr>
            <w:tcW w:type="dxa" w:w="374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Sale attribution matters. Consider rewarding instructors who bring their own students.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Graphy (India)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Its documented revenue-share arrangement charges 10% + GST per transaction, with a ₹10 minimum, and mentions a ₹19,999 one-time onboarding fee. Its plan page also lists subscription plans with transaction fees.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VStudyOnline's ₹0 publishing is a lower upfront barrier; avoid adding unnecessary fees.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Teachable</w:t>
            </w:r>
          </w:p>
        </w:tc>
        <w:tc>
          <w:tcPr>
            <w:tcW w:type="dxa" w:w="432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Subscription revenue; Starter charges a 7.5% plan transaction fee, while higher eligible plans have 0% platform transaction fee. Processing fees are separate.</w:t>
            </w:r>
          </w:p>
        </w:tc>
        <w:tc>
          <w:tcPr>
            <w:tcW w:type="dxa" w:w="374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Some creator businesses prefer a subscription rather than a percentage, but this adds fixed cost.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LearnWorlds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Starter lists a $5 fee per paid enrollment plus subscription; Pro Trainer and higher plans remove platform enrollment fees, while subscriptions remain.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Fixed fees and subscriptions can work, but may be less attractive to beginners.</w:t>
            </w:r>
          </w:p>
        </w:tc>
      </w:tr>
    </w:tbl>
    <w:p/>
    <w:p>
      <w:pPr>
        <w:pStyle w:val="Heading1"/>
      </w:pPr>
      <w:r>
        <w:t>3. Suggestions — keep pricing affordable</w:t>
      </w:r>
    </w:p>
    <w:p>
      <w:pPr>
        <w:pStyle w:val="ListBullet"/>
        <w:spacing w:after="40"/>
      </w:pPr>
      <w:r>
        <w:t>Keep standard registration and publishing at ₹0. Do not charge instructors just to log in.</w:t>
      </w:r>
    </w:p>
    <w:p>
      <w:pPr>
        <w:pStyle w:val="ListBullet"/>
        <w:spacing w:after="40"/>
      </w:pPr>
      <w:r>
        <w:t>Keep the existing 80/20 split as the default while VStudyOnline builds its instructor and student base.</w:t>
      </w:r>
    </w:p>
    <w:p>
      <w:pPr>
        <w:pStyle w:val="ListBullet"/>
        <w:spacing w:after="40"/>
      </w:pPr>
      <w:r>
        <w:t>Later, test a 10–15% platform commission for sales that are clearly brought by the instructor through a tracked referral link or coupon. Keep 20% for sales acquired by the platform. This is a proposal, not a current feature.</w:t>
      </w:r>
    </w:p>
    <w:p>
      <w:pPr>
        <w:pStyle w:val="ListBullet"/>
        <w:spacing w:after="40"/>
      </w:pPr>
      <w:r>
        <w:t>Do not add mandatory instructor subscriptions or high onboarding fees at this stage.</w:t>
      </w:r>
    </w:p>
    <w:p>
      <w:pPr>
        <w:pStyle w:val="ListBullet"/>
        <w:spacing w:after="40"/>
      </w:pPr>
      <w:r>
        <w:t>Show the instructor exactly how each payout is calculated: sale amount, discounts/credits, platform commission, gateway charges if deducted, refunds and final earnings.</w:t>
      </w:r>
    </w:p>
    <w:p>
      <w:pPr>
        <w:pStyle w:val="ListBullet"/>
        <w:spacing w:after="40"/>
      </w:pPr>
      <w:r>
        <w:t>Give Super Admin a revenue view showing total eligible sales, 20% commission, gateway costs, refunds, instructor payouts and net platform revenue separately.</w:t>
      </w:r>
    </w:p>
    <w:p>
      <w:pPr>
        <w:pStyle w:val="Heading1"/>
      </w:pPr>
      <w:r>
        <w:t>4. Recommended decision</w:t>
      </w:r>
    </w:p>
    <w:p>
      <w:r>
        <w:t>Keep ₹0 publishing + 80/20 as the current model. It is easy to explain and avoids an upfront barrier. The first pricing improvement worth testing is a lower commission for verified instructor-referred sales—not adding another fee. Before changing the code, measure how many sales come from instructors versus the marketplace and calculate the effect on platform revenue.</w:t>
      </w:r>
    </w:p>
    <w:p>
      <w:r>
        <w:t>Important: apply the 80/20 rule to topic sales, course sales, upgrades, mentorship and webinars only where the business rules explicitly say it applies. For topic-to-course upgrades, prevent the same value from being counted twice.</w:t>
      </w:r>
    </w:p>
    <w:p>
      <w:pPr>
        <w:pStyle w:val="Heading1"/>
      </w:pPr>
      <w:r>
        <w:t>Official competitor references</w:t>
      </w:r>
    </w:p>
    <w:p>
      <w:pPr>
        <w:pStyle w:val="ListBullet"/>
        <w:spacing w:after="20"/>
      </w:pPr>
      <w:r>
        <w:rPr>
          <w:b/>
        </w:rPr>
        <w:t xml:space="preserve">Udemy — instructor revenue share: </w:t>
      </w:r>
      <w:r>
        <w:t>https://support.udemy.com/hc/en-us/articles/229605008-Instructor-revenue-share</w:t>
      </w:r>
    </w:p>
    <w:p>
      <w:pPr>
        <w:pStyle w:val="ListBullet"/>
        <w:spacing w:after="20"/>
      </w:pPr>
      <w:r>
        <w:rPr>
          <w:b/>
        </w:rPr>
        <w:t xml:space="preserve">Graphy — India revenue-share calculation: </w:t>
      </w:r>
      <w:r>
        <w:t>https://help.graphy.com/support/solutions/articles/1060000131262/create_ticket</w:t>
      </w:r>
    </w:p>
    <w:p>
      <w:pPr>
        <w:pStyle w:val="ListBullet"/>
        <w:spacing w:after="20"/>
      </w:pPr>
      <w:r>
        <w:rPr>
          <w:b/>
        </w:rPr>
        <w:t xml:space="preserve">Graphy — plan pricing: </w:t>
      </w:r>
      <w:r>
        <w:t>https://graphy.com/us/pricing/</w:t>
      </w:r>
    </w:p>
    <w:p>
      <w:pPr>
        <w:pStyle w:val="ListBullet"/>
        <w:spacing w:after="20"/>
      </w:pPr>
      <w:r>
        <w:rPr>
          <w:b/>
        </w:rPr>
        <w:t xml:space="preserve">Teachable — transaction fees: </w:t>
      </w:r>
      <w:r>
        <w:t>https://support.teachable.com/en/articles/15661316-understand-your-transaction-fees-and-bundles</w:t>
      </w:r>
    </w:p>
    <w:p>
      <w:pPr>
        <w:pStyle w:val="ListBullet"/>
        <w:spacing w:after="20"/>
      </w:pPr>
      <w:r>
        <w:rPr>
          <w:b/>
        </w:rPr>
        <w:t xml:space="preserve">LearnWorlds — pricing: </w:t>
      </w:r>
      <w:r>
        <w:t>https://www.learnworlds.com/pricing/</w:t>
      </w:r>
    </w:p>
    <w:p>
      <w:r>
        <w:t>Competitor fees can vary by country, plan, payment gateway, tax and contract. Verify the current official terms before using prices in public marketing.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VStudyOnline • Short pricing strategy note • 16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67D8D"/>
        <w:sz w:val="16"/>
      </w:rPr>
      <w:t>VSTUDYONLINE  |  REVENUE COMPARISON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D34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1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