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b/>
          <w:bCs/>
          <w:color w:val="0A2540"/>
          <w:sz w:val="32"/>
          <w:szCs w:val="32"/>
        </w:rPr>
        <w:t xml:space="preserve">PANDUAN LENGKAP METODE STAR UNTUK WAWANCARA KERJA</w:t>
      </w:r>
    </w:p>
    <w:p>
      <w:pPr>
        <w:spacing w:after="120"/>
      </w:pPr>
      <w:r>
        <w:rPr>
          <w:rFonts w:ascii="Arial" w:cs="Arial" w:eastAsia="Arial" w:hAnsi="Arial"/>
          <w:b/>
          <w:bCs/>
          <w:color w:val="0066CC"/>
          <w:sz w:val="24"/>
          <w:szCs w:val="24"/>
        </w:rPr>
        <w:t xml:space="preserve">Proyek: Keceku Suplesi Engine (High-Performance Pre-Warming Microservice)</w:t>
      </w:r>
    </w:p>
    <w:p>
      <w:pPr>
        <w:spacing w:after="240"/>
      </w:pPr>
      <w:r>
        <w:rPr>
          <w:i/>
          <w:iCs/>
          <w:color w:val="4A5568"/>
          <w:sz w:val="20"/>
          <w:szCs w:val="20"/>
        </w:rPr>
        <w:t xml:space="preserve">Dokumen ini dirancang sebagai panduan komprehensif bagi Software Engineer / Backend Engineer untuk menceritakan arsitektur, tantangan rekayasa, dan pencapaian teknis proyek menggunakan kerangka kerja STAR (Situation, Task, Action, Result) dengan alur bercerita yang profesional, terukur, dan berdampak tinggi di hadapan interviewer.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c>
          <w:tcPr>
            <w:tcW w:type="pct" w:w="1500"/>
            <w:tcBorders>
              <w:top w:val="single" w:color="CBD5E0" w:sz="4"/>
              <w:left w:val="single" w:color="CBD5E0" w:sz="4"/>
              <w:bottom w:val="single" w:color="CBD5E0" w:sz="4"/>
              <w:right w:val="single" w:color="CBD5E0" w:sz="4"/>
            </w:tcBorders>
            <w:shd w:fill="0A2540" w:val="clear"/>
            <w:tcMar>
              <w:top w:type="dxa" w:w="120"/>
              <w:left w:type="dxa" w:w="150"/>
              <w:bottom w:type="dxa" w:w="120"/>
              <w:right w:type="dxa" w:w="150"/>
            </w:tcMar>
          </w:tcPr>
          <w:p>
            <w:r>
              <w:rPr>
                <w:rFonts w:ascii="Arial" w:cs="Arial" w:eastAsia="Arial" w:hAnsi="Arial"/>
                <w:b/>
                <w:bCs/>
                <w:color w:val="FFFFFF"/>
                <w:sz w:val="20"/>
                <w:szCs w:val="20"/>
              </w:rPr>
              <w:t xml:space="preserve">Parameter</w:t>
            </w:r>
          </w:p>
        </w:tc>
        <w:tc>
          <w:tcPr>
            <w:tcW w:type="pct" w:w="3500"/>
            <w:tcBorders>
              <w:top w:val="single" w:color="CBD5E0" w:sz="4"/>
              <w:left w:val="single" w:color="CBD5E0" w:sz="4"/>
              <w:bottom w:val="single" w:color="CBD5E0" w:sz="4"/>
              <w:right w:val="single" w:color="CBD5E0" w:sz="4"/>
            </w:tcBorders>
            <w:shd w:fill="0A2540" w:val="clear"/>
            <w:tcMar>
              <w:top w:type="dxa" w:w="120"/>
              <w:left w:type="dxa" w:w="150"/>
              <w:bottom w:type="dxa" w:w="120"/>
              <w:right w:type="dxa" w:w="150"/>
            </w:tcMar>
          </w:tcPr>
          <w:p>
            <w:r>
              <w:rPr>
                <w:rFonts w:ascii="Arial" w:cs="Arial" w:eastAsia="Arial" w:hAnsi="Arial"/>
                <w:b/>
                <w:bCs/>
                <w:color w:val="FFFFFF"/>
                <w:sz w:val="20"/>
                <w:szCs w:val="20"/>
              </w:rPr>
              <w:t xml:space="preserve">Rincian Proyek</w:t>
            </w:r>
          </w:p>
        </w:tc>
      </w:tr>
      <w:tr>
        <w:tc>
          <w:tcPr>
            <w:tcW w:type="pct" w:w="1500"/>
            <w:tcBorders>
              <w:top w:val="single" w:color="CBD5E0" w:sz="4"/>
              <w:left w:val="single" w:color="CBD5E0" w:sz="4"/>
              <w:bottom w:val="single" w:color="CBD5E0" w:sz="4"/>
              <w:right w:val="single" w:color="CBD5E0" w:sz="4"/>
            </w:tcBorders>
            <w:shd w:fill="FFFFFF" w:val="clear"/>
            <w:tcMar>
              <w:top w:type="dxa" w:w="120"/>
              <w:left w:type="dxa" w:w="150"/>
              <w:bottom w:type="dxa" w:w="120"/>
              <w:right w:type="dxa" w:w="150"/>
            </w:tcMar>
          </w:tcPr>
          <w:p>
            <w:r>
              <w:rPr>
                <w:rFonts w:ascii="Arial" w:cs="Arial" w:eastAsia="Arial" w:hAnsi="Arial"/>
                <w:b/>
                <w:bCs/>
                <w:color w:val="2D3748"/>
                <w:sz w:val="19"/>
                <w:szCs w:val="19"/>
              </w:rPr>
              <w:t xml:space="preserve">Nama Proyek</w:t>
            </w:r>
          </w:p>
        </w:tc>
        <w:tc>
          <w:tcPr>
            <w:tcW w:type="pct" w:w="3500"/>
            <w:tcBorders>
              <w:top w:val="single" w:color="CBD5E0" w:sz="4"/>
              <w:left w:val="single" w:color="CBD5E0" w:sz="4"/>
              <w:bottom w:val="single" w:color="CBD5E0" w:sz="4"/>
              <w:right w:val="single" w:color="CBD5E0" w:sz="4"/>
            </w:tcBorders>
            <w:shd w:fill="FFFFFF" w:val="clear"/>
            <w:tcMar>
              <w:top w:type="dxa" w:w="120"/>
              <w:left w:type="dxa" w:w="150"/>
              <w:bottom w:type="dxa" w:w="120"/>
              <w:right w:type="dxa" w:w="150"/>
            </w:tcMar>
          </w:tcPr>
          <w:p>
            <w:r>
              <w:rPr>
                <w:rFonts w:ascii="Arial" w:cs="Arial" w:eastAsia="Arial" w:hAnsi="Arial"/>
                <w:b w:val="false"/>
                <w:bCs w:val="false"/>
                <w:color w:val="2D3748"/>
                <w:sz w:val="19"/>
                <w:szCs w:val="19"/>
              </w:rPr>
              <w:t xml:space="preserve">Keceku Suplesi Engine (Monorepo Piloting)</w:t>
            </w:r>
          </w:p>
        </w:tc>
      </w:tr>
      <w:tr>
        <w:tc>
          <w:tcPr>
            <w:tcW w:type="pct" w:w="1500"/>
            <w:tcBorders>
              <w:top w:val="single" w:color="CBD5E0" w:sz="4"/>
              <w:left w:val="single" w:color="CBD5E0" w:sz="4"/>
              <w:bottom w:val="single" w:color="CBD5E0" w:sz="4"/>
              <w:right w:val="single" w:color="CBD5E0" w:sz="4"/>
            </w:tcBorders>
            <w:shd w:fill="F8FAFC" w:val="clear"/>
            <w:tcMar>
              <w:top w:type="dxa" w:w="120"/>
              <w:left w:type="dxa" w:w="150"/>
              <w:bottom w:type="dxa" w:w="120"/>
              <w:right w:type="dxa" w:w="150"/>
            </w:tcMar>
          </w:tcPr>
          <w:p>
            <w:r>
              <w:rPr>
                <w:rFonts w:ascii="Arial" w:cs="Arial" w:eastAsia="Arial" w:hAnsi="Arial"/>
                <w:b/>
                <w:bCs/>
                <w:color w:val="2D3748"/>
                <w:sz w:val="19"/>
                <w:szCs w:val="19"/>
              </w:rPr>
              <w:t xml:space="preserve">Domain / Industri</w:t>
            </w:r>
          </w:p>
        </w:tc>
        <w:tc>
          <w:tcPr>
            <w:tcW w:type="pct" w:w="3500"/>
            <w:tcBorders>
              <w:top w:val="single" w:color="CBD5E0" w:sz="4"/>
              <w:left w:val="single" w:color="CBD5E0" w:sz="4"/>
              <w:bottom w:val="single" w:color="CBD5E0" w:sz="4"/>
              <w:right w:val="single" w:color="CBD5E0" w:sz="4"/>
            </w:tcBorders>
            <w:shd w:fill="F8FAFC" w:val="clear"/>
            <w:tcMar>
              <w:top w:type="dxa" w:w="120"/>
              <w:left w:type="dxa" w:w="150"/>
              <w:bottom w:type="dxa" w:w="120"/>
              <w:right w:type="dxa" w:w="150"/>
            </w:tcMar>
          </w:tcPr>
          <w:p>
            <w:r>
              <w:rPr>
                <w:rFonts w:ascii="Arial" w:cs="Arial" w:eastAsia="Arial" w:hAnsi="Arial"/>
                <w:b w:val="false"/>
                <w:bCs w:val="false"/>
                <w:color w:val="2D3748"/>
                <w:sz w:val="19"/>
                <w:szCs w:val="19"/>
              </w:rPr>
              <w:t xml:space="preserve">Perbankan &amp; Fintech (Kredit Usaha Pedesaan - Kupedes BRI)</w:t>
            </w:r>
          </w:p>
        </w:tc>
      </w:tr>
      <w:tr>
        <w:tc>
          <w:tcPr>
            <w:tcW w:type="pct" w:w="1500"/>
            <w:tcBorders>
              <w:top w:val="single" w:color="CBD5E0" w:sz="4"/>
              <w:left w:val="single" w:color="CBD5E0" w:sz="4"/>
              <w:bottom w:val="single" w:color="CBD5E0" w:sz="4"/>
              <w:right w:val="single" w:color="CBD5E0" w:sz="4"/>
            </w:tcBorders>
            <w:shd w:fill="FFFFFF" w:val="clear"/>
            <w:tcMar>
              <w:top w:type="dxa" w:w="120"/>
              <w:left w:type="dxa" w:w="150"/>
              <w:bottom w:type="dxa" w:w="120"/>
              <w:right w:type="dxa" w:w="150"/>
            </w:tcMar>
          </w:tcPr>
          <w:p>
            <w:r>
              <w:rPr>
                <w:rFonts w:ascii="Arial" w:cs="Arial" w:eastAsia="Arial" w:hAnsi="Arial"/>
                <w:b/>
                <w:bCs/>
                <w:color w:val="2D3748"/>
                <w:sz w:val="19"/>
                <w:szCs w:val="19"/>
              </w:rPr>
              <w:t xml:space="preserve">Target Peran</w:t>
            </w:r>
          </w:p>
        </w:tc>
        <w:tc>
          <w:tcPr>
            <w:tcW w:type="pct" w:w="3500"/>
            <w:tcBorders>
              <w:top w:val="single" w:color="CBD5E0" w:sz="4"/>
              <w:left w:val="single" w:color="CBD5E0" w:sz="4"/>
              <w:bottom w:val="single" w:color="CBD5E0" w:sz="4"/>
              <w:right w:val="single" w:color="CBD5E0" w:sz="4"/>
            </w:tcBorders>
            <w:shd w:fill="FFFFFF" w:val="clear"/>
            <w:tcMar>
              <w:top w:type="dxa" w:w="120"/>
              <w:left w:type="dxa" w:w="150"/>
              <w:bottom w:type="dxa" w:w="120"/>
              <w:right w:type="dxa" w:w="150"/>
            </w:tcMar>
          </w:tcPr>
          <w:p>
            <w:r>
              <w:rPr>
                <w:rFonts w:ascii="Arial" w:cs="Arial" w:eastAsia="Arial" w:hAnsi="Arial"/>
                <w:b w:val="false"/>
                <w:bCs w:val="false"/>
                <w:color w:val="2D3748"/>
                <w:sz w:val="19"/>
                <w:szCs w:val="19"/>
              </w:rPr>
              <w:t xml:space="preserve">Senior Backend Engineer / Distributed Systems Engineer (Golang)</w:t>
            </w:r>
          </w:p>
        </w:tc>
      </w:tr>
      <w:tr>
        <w:tc>
          <w:tcPr>
            <w:tcW w:type="pct" w:w="1500"/>
            <w:tcBorders>
              <w:top w:val="single" w:color="CBD5E0" w:sz="4"/>
              <w:left w:val="single" w:color="CBD5E0" w:sz="4"/>
              <w:bottom w:val="single" w:color="CBD5E0" w:sz="4"/>
              <w:right w:val="single" w:color="CBD5E0" w:sz="4"/>
            </w:tcBorders>
            <w:shd w:fill="F8FAFC" w:val="clear"/>
            <w:tcMar>
              <w:top w:type="dxa" w:w="120"/>
              <w:left w:type="dxa" w:w="150"/>
              <w:bottom w:type="dxa" w:w="120"/>
              <w:right w:type="dxa" w:w="150"/>
            </w:tcMar>
          </w:tcPr>
          <w:p>
            <w:r>
              <w:rPr>
                <w:rFonts w:ascii="Arial" w:cs="Arial" w:eastAsia="Arial" w:hAnsi="Arial"/>
                <w:b/>
                <w:bCs/>
                <w:color w:val="2D3748"/>
                <w:sz w:val="19"/>
                <w:szCs w:val="19"/>
              </w:rPr>
              <w:t xml:space="preserve">Tech Stack Utama</w:t>
            </w:r>
          </w:p>
        </w:tc>
        <w:tc>
          <w:tcPr>
            <w:tcW w:type="pct" w:w="3500"/>
            <w:tcBorders>
              <w:top w:val="single" w:color="CBD5E0" w:sz="4"/>
              <w:left w:val="single" w:color="CBD5E0" w:sz="4"/>
              <w:bottom w:val="single" w:color="CBD5E0" w:sz="4"/>
              <w:right w:val="single" w:color="CBD5E0" w:sz="4"/>
            </w:tcBorders>
            <w:shd w:fill="F8FAFC" w:val="clear"/>
            <w:tcMar>
              <w:top w:type="dxa" w:w="120"/>
              <w:left w:type="dxa" w:w="150"/>
              <w:bottom w:type="dxa" w:w="120"/>
              <w:right w:type="dxa" w:w="150"/>
            </w:tcMar>
          </w:tcPr>
          <w:p>
            <w:r>
              <w:rPr>
                <w:rFonts w:ascii="Arial" w:cs="Arial" w:eastAsia="Arial" w:hAnsi="Arial"/>
                <w:b w:val="false"/>
                <w:bCs w:val="false"/>
                <w:color w:val="2D3748"/>
                <w:sz w:val="19"/>
                <w:szCs w:val="19"/>
              </w:rPr>
              <w:t xml:space="preserve">Golang 1.26, gRPC (HTTP/2 Client Streaming), Protobuf v3, Redis Cluster / UniversalClient (Pipelining), Fiber v3, Cobra CLI, Viper, Zerolog</w:t>
            </w:r>
          </w:p>
        </w:tc>
      </w:tr>
      <w:tr>
        <w:tc>
          <w:tcPr>
            <w:tcW w:type="pct" w:w="1500"/>
            <w:tcBorders>
              <w:top w:val="single" w:color="CBD5E0" w:sz="4"/>
              <w:left w:val="single" w:color="CBD5E0" w:sz="4"/>
              <w:bottom w:val="single" w:color="CBD5E0" w:sz="4"/>
              <w:right w:val="single" w:color="CBD5E0" w:sz="4"/>
            </w:tcBorders>
            <w:shd w:fill="FFFFFF" w:val="clear"/>
            <w:tcMar>
              <w:top w:type="dxa" w:w="120"/>
              <w:left w:type="dxa" w:w="150"/>
              <w:bottom w:type="dxa" w:w="120"/>
              <w:right w:type="dxa" w:w="150"/>
            </w:tcMar>
          </w:tcPr>
          <w:p>
            <w:r>
              <w:rPr>
                <w:rFonts w:ascii="Arial" w:cs="Arial" w:eastAsia="Arial" w:hAnsi="Arial"/>
                <w:b/>
                <w:bCs/>
                <w:color w:val="2D3748"/>
                <w:sz w:val="19"/>
                <w:szCs w:val="19"/>
              </w:rPr>
              <w:t xml:space="preserve">Highlight Metrik</w:t>
            </w:r>
          </w:p>
        </w:tc>
        <w:tc>
          <w:tcPr>
            <w:tcW w:type="pct" w:w="3500"/>
            <w:tcBorders>
              <w:top w:val="single" w:color="CBD5E0" w:sz="4"/>
              <w:left w:val="single" w:color="CBD5E0" w:sz="4"/>
              <w:bottom w:val="single" w:color="CBD5E0" w:sz="4"/>
              <w:right w:val="single" w:color="CBD5E0" w:sz="4"/>
            </w:tcBorders>
            <w:shd w:fill="FFFFFF" w:val="clear"/>
            <w:tcMar>
              <w:top w:type="dxa" w:w="120"/>
              <w:left w:type="dxa" w:w="150"/>
              <w:bottom w:type="dxa" w:w="120"/>
              <w:right w:type="dxa" w:w="150"/>
            </w:tcMar>
          </w:tcPr>
          <w:p>
            <w:r>
              <w:rPr>
                <w:rFonts w:ascii="Arial" w:cs="Arial" w:eastAsia="Arial" w:hAnsi="Arial"/>
                <w:b w:val="false"/>
                <w:bCs w:val="false"/>
                <w:color w:val="2D3748"/>
                <w:sz w:val="19"/>
                <w:szCs w:val="19"/>
              </w:rPr>
              <w:t xml:space="preserve">Ingestion 100.000 debitur dlm ~4-7 detik (~20.000 records/detik), Heap RAM konstan ~20 MB, Latensi HTTP &lt; 3 ms</w:t>
            </w:r>
          </w:p>
        </w:tc>
      </w:tr>
    </w:tbl>
    <w:p>
      <w:pPr>
        <w:spacing w:after="2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5000"/>
            <w:tcBorders>
              <w:top w:val="none"/>
              <w:left w:val="single" w:color="0066CC" w:sz="24"/>
              <w:bottom w:val="none"/>
              <w:right w:val="none"/>
            </w:tcBorders>
            <w:shd w:fill="EBF8FF" w:val="clear"/>
            <w:tcMar>
              <w:top w:type="dxa" w:w="160"/>
              <w:left w:type="dxa" w:w="200"/>
              <w:bottom w:type="dxa" w:w="160"/>
              <w:right w:type="dxa" w:w="200"/>
            </w:tcMar>
          </w:tcPr>
          <w:p>
            <w:pPr>
              <w:spacing w:after="100"/>
            </w:pPr>
            <w:r>
              <w:rPr>
                <w:rFonts w:ascii="Arial" w:cs="Arial" w:eastAsia="Arial" w:hAnsi="Arial"/>
                <w:b/>
                <w:bCs/>
                <w:color w:val="0066CC"/>
                <w:sz w:val="22"/>
                <w:szCs w:val="22"/>
              </w:rPr>
              <w:t xml:space="preserve">⚡ 30-Second Elevator Pitch (Siap Ucap saat Wawancara)</w:t>
            </w:r>
          </w:p>
          <w:p>
            <w:r>
              <w:rPr>
                <w:rFonts w:ascii="Arial" w:cs="Arial" w:eastAsia="Arial" w:hAnsi="Arial"/>
                <w:color w:val="333333"/>
                <w:sz w:val="20"/>
                <w:szCs w:val="20"/>
              </w:rPr>
              <w:t xml:space="preserve">"Di proyek Keceku Suplesi Engine, saya merancang dan mengimplementasikan subsistem data pre-warming berkinerja tinggi untuk meng-ingest 100.000 data kandidat debitur Kupedes ke Redis Cluster sebelum kampanye WhatsApp Blast diluncurkan serentak. Dengan menggabungkan gRPC Client Streaming via HTTP/2 dan Redis Pipelining, saya berhasil memangkas network round-trip sebesar 99.8%, mencapai throughput 20.000 data per detik dengan konsumsi RAM yang terkendali stabil di ~20 MB tanpa risiko OOM. Hasilnya, saat ribuan debitur membuka link penawaran suplesi secara bersamaan, sistem menyajikan data secara instan dengan latensi di bawah 3 milidetik dan 100% melindungi database core banking dari kelumpuhan thundering herd."</w:t>
            </w:r>
          </w:p>
        </w:tc>
      </w:tr>
    </w:tbl>
    <w:p>
      <w:pPr>
        <w:spacing w:after="300"/>
      </w:pPr>
    </w:p>
    <w:p>
      <w:pPr>
        <w:pStyle w:val="Heading1"/>
        <w:spacing w:after="140" w:before="200"/>
      </w:pPr>
      <w:r>
        <w:rPr>
          <w:b/>
          <w:bCs/>
          <w:color w:val="0A2540"/>
          <w:sz w:val="26"/>
          <w:szCs w:val="26"/>
        </w:rPr>
        <w:t xml:space="preserve">1. S – SITUATION (Situasi &amp; Latar Belakang Masalah)</w:t>
      </w:r>
    </w:p>
    <w:p>
      <w:pPr>
        <w:spacing w:after="80"/>
      </w:pPr>
      <w:r>
        <w:rPr>
          <w:b/>
          <w:bCs/>
          <w:color w:val="2D3748"/>
          <w:sz w:val="22"/>
          <w:szCs w:val="22"/>
        </w:rPr>
        <w:t xml:space="preserve">Latar Belakang Bisnis (Kupedes &amp; Suplesi Keceku):</w:t>
      </w:r>
    </w:p>
    <w:p>
      <w:pPr>
        <w:spacing w:after="140"/>
      </w:pPr>
      <w:r>
        <w:t xml:space="preserve">Kupedes (Kredit Umum Pedesaan) merupakan salah satu produk pinjaman mikro utama di Bank Rakyat Indonesia (BRI). Dalam operasional perbankan, terdapat inisiatif strategis bernama </w:t>
      </w:r>
      <w:r>
        <w:rPr>
          <w:b/>
          <w:bCs/>
        </w:rPr>
        <w:t xml:space="preserve">Suplesi (Top-Up Pinjaman)</w:t>
      </w:r>
      <w:r>
        <w:t xml:space="preserve">, yaitu menawarkan penambahan plafon kredit secara proaktif kepada debitur eksisting yang memiliki riwayat pembayaran angsuran lancar sebelum masa kredit berakhir. Untuk mendorong akselerasi penyaluran kredit, divisi bisnis merancang kampanye otomatisasi pemasaran berupa </w:t>
      </w:r>
      <w:r>
        <w:rPr>
          <w:b/>
          <w:bCs/>
        </w:rPr>
        <w:t xml:space="preserve">WhatsApp Blast kepada 100.000 debitur terpilih</w:t>
      </w:r>
      <w:r>
        <w:t xml:space="preserve"> secara serentak. Setiap pesan WhatsApp memuat link penawaran personal yang dipersingkat (contoh: https://keceku.bri.co.id/s/:token).</w:t>
      </w:r>
    </w:p>
    <w:p>
      <w:pPr>
        <w:spacing w:after="80"/>
      </w:pPr>
      <w:r>
        <w:rPr>
          <w:b/>
          <w:bCs/>
          <w:color w:val="2D3748"/>
          <w:sz w:val="22"/>
          <w:szCs w:val="22"/>
        </w:rPr>
        <w:t xml:space="preserve">Tantangan Kritis Rekayasa Sistem (The Technical Bottlenecks):</w:t>
      </w:r>
    </w:p>
    <w:p>
      <w:pPr>
        <w:spacing w:after="100"/>
      </w:pPr>
      <w:r>
        <w:t xml:space="preserve">Sebelum kampanye diluncurkan, tim rekayasa dihadapkan pada dua permasalahan arsitektur yang sangat krusial:</w:t>
      </w:r>
    </w:p>
    <w:p>
      <w:pPr>
        <w:pStyle w:val="ListParagraph"/>
        <w:numPr>
          <w:ilvl w:val="0"/>
          <w:numId w:val="1"/>
        </w:numPr>
        <w:spacing w:after="100"/>
      </w:pPr>
      <w:r>
        <w:rPr>
          <w:b/>
          <w:bCs/>
          <w:color w:val="0A2540"/>
        </w:rPr>
        <w:t xml:space="preserve">1. Ancaman Thundering Herd pada Database Inti: </w:t>
      </w:r>
      <w:r>
        <w:t xml:space="preserve">Begitu 100.000 pesan WhatsApp terkirim, diprediksi sekitar 10.000 hingga 15.000 debitur akan mengklik tautan tersebut secara hampir bersamaan dalam hitungan menit pertama. Jika sistem mengandalkan query relasional langsung ke Database Core Banking / Data Lake / DB Replika untuk membaca baki debet, riwayat tenor, dan limit suplesi, database akan mengalami connection pool exhaustion, CPU spike 100%, deadlock, dan berpotensi mengalami pemadaman sistem (downtime). Solusinya adalah melakukan </w:t>
      </w:r>
      <w:r>
        <w:rPr>
          <w:b/>
          <w:bCs/>
        </w:rPr>
        <w:t xml:space="preserve">Pre-Warming Cache ke Redis Cluster</w:t>
      </w:r>
      <w:r>
        <w:t xml:space="preserve"> beberapa jam sebelum blast dilakukan.</w:t>
      </w:r>
    </w:p>
    <w:p>
      <w:pPr>
        <w:pStyle w:val="ListParagraph"/>
        <w:numPr>
          <w:ilvl w:val="0"/>
          <w:numId w:val="1"/>
        </w:numPr>
        <w:spacing w:after="100"/>
      </w:pPr>
      <w:r>
        <w:rPr>
          <w:b/>
          <w:bCs/>
          <w:color w:val="0A2540"/>
        </w:rPr>
        <w:t xml:space="preserve">2. Inefisiensi Ekstrem pada Pola REST Tradisional: </w:t>
      </w:r>
      <w:r>
        <w:t xml:space="preserve">Jika proses pre-warming 100.000 debitur ini menggunakan REST API biasa secara individual (1 request per debitur), sistem akan menghabiskan 100.000 kali network round-trip HTTP, memakan waktu puluhan menit bahkan berjam-jam. Sebaliknya, jika dikirim sebagai satu payload JSON raksasa berukuran puluhan Megabyte, server Go akan mengalami lonjakan heap memory (RAM spike), alokasi GC pause yang lama, dan rentan terhadap kegagalan Out-Of-Memory (OOM) serta connection timeout.</w:t>
      </w:r>
    </w:p>
    <w:p>
      <w:pPr>
        <w:pStyle w:val="ListParagraph"/>
        <w:numPr>
          <w:ilvl w:val="0"/>
          <w:numId w:val="1"/>
        </w:numPr>
        <w:spacing w:after="200"/>
      </w:pPr>
      <w:r>
        <w:rPr>
          <w:b/>
          <w:bCs/>
          <w:color w:val="0A2540"/>
        </w:rPr>
        <w:t xml:space="preserve">3. Kompleksitas Sharding pada Redis Cluster: </w:t>
      </w:r>
      <w:r>
        <w:t xml:space="preserve">Di lingkungan perbankan skala enterprise, Redis dijalankan dalam mode Cluster (sharded multi-node). Mengeksekusi batch caching dalam jumlah besar berisiko tinggi memicu error CROSSSLOT Keys in request don't hash to the same slot jika hashing key tidak ditangani dengan tepat.</w:t>
      </w:r>
    </w:p>
    <w:p>
      <w:pPr>
        <w:pStyle w:val="Heading1"/>
        <w:spacing w:after="140" w:before="200"/>
      </w:pPr>
      <w:r>
        <w:rPr>
          <w:b/>
          <w:bCs/>
          <w:color w:val="0A2540"/>
          <w:sz w:val="26"/>
          <w:szCs w:val="26"/>
        </w:rPr>
        <w:t xml:space="preserve">2. T – TASK (Tugas &amp; Kriteria Keberhasilan)</w:t>
      </w:r>
    </w:p>
    <w:p>
      <w:pPr>
        <w:spacing w:after="80"/>
      </w:pPr>
      <w:r>
        <w:rPr>
          <w:b/>
          <w:bCs/>
          <w:color w:val="2D3748"/>
          <w:sz w:val="22"/>
          <w:szCs w:val="22"/>
        </w:rPr>
        <w:t xml:space="preserve">Tanggung Jawab &amp; Ekspektasi:</w:t>
      </w:r>
    </w:p>
    <w:p>
      <w:pPr>
        <w:spacing w:after="140"/>
      </w:pPr>
      <w:r>
        <w:t xml:space="preserve">Sebagai Backend / Distributed Systems Engineer, tugas utama saya adalah merancang, mengimplementasikan, dan membuktikan kelayakan (Piloting Proof-of-Concept) arsitektur </w:t>
      </w:r>
      <w:r>
        <w:rPr>
          <w:b/>
          <w:bCs/>
        </w:rPr>
        <w:t xml:space="preserve">High-Performance Pre-Warming Engine &amp; Retrieval Service</w:t>
      </w:r>
      <w:r>
        <w:t xml:space="preserve"> yang mampu menyelesaikan proses ingestion data debitur secara cepat, hemat sumber daya, dan aman.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pct" w:w="1750"/>
            <w:tcBorders>
              <w:top w:val="single" w:color="CBD5E0" w:sz="4"/>
              <w:left w:val="single" w:color="CBD5E0" w:sz="4"/>
              <w:bottom w:val="single" w:color="CBD5E0" w:sz="4"/>
              <w:right w:val="single" w:color="CBD5E0" w:sz="4"/>
            </w:tcBorders>
            <w:shd w:fill="0A2540" w:val="clear"/>
            <w:tcMar>
              <w:top w:type="dxa" w:w="120"/>
              <w:left w:type="dxa" w:w="150"/>
              <w:bottom w:type="dxa" w:w="120"/>
              <w:right w:type="dxa" w:w="150"/>
            </w:tcMar>
          </w:tcPr>
          <w:p>
            <w:r>
              <w:rPr>
                <w:rFonts w:ascii="Arial" w:cs="Arial" w:eastAsia="Arial" w:hAnsi="Arial"/>
                <w:b/>
                <w:bCs/>
                <w:color w:val="FFFFFF"/>
                <w:sz w:val="20"/>
                <w:szCs w:val="20"/>
              </w:rPr>
              <w:t xml:space="preserve">Target Keberhasilan (KPI)</w:t>
            </w:r>
          </w:p>
        </w:tc>
        <w:tc>
          <w:tcPr>
            <w:tcW w:type="pct" w:w="3250"/>
            <w:tcBorders>
              <w:top w:val="single" w:color="CBD5E0" w:sz="4"/>
              <w:left w:val="single" w:color="CBD5E0" w:sz="4"/>
              <w:bottom w:val="single" w:color="CBD5E0" w:sz="4"/>
              <w:right w:val="single" w:color="CBD5E0" w:sz="4"/>
            </w:tcBorders>
            <w:shd w:fill="0A2540" w:val="clear"/>
            <w:tcMar>
              <w:top w:type="dxa" w:w="120"/>
              <w:left w:type="dxa" w:w="150"/>
              <w:bottom w:type="dxa" w:w="120"/>
              <w:right w:type="dxa" w:w="150"/>
            </w:tcMar>
          </w:tcPr>
          <w:p>
            <w:r>
              <w:rPr>
                <w:rFonts w:ascii="Arial" w:cs="Arial" w:eastAsia="Arial" w:hAnsi="Arial"/>
                <w:b/>
                <w:bCs/>
                <w:color w:val="FFFFFF"/>
                <w:sz w:val="20"/>
                <w:szCs w:val="20"/>
              </w:rPr>
              <w:t xml:space="preserve">Kriteria Teknis &amp; Nilai Acuan</w:t>
            </w:r>
          </w:p>
        </w:tc>
      </w:tr>
      <w:tr>
        <w:tc>
          <w:tcPr>
            <w:tcW w:type="pct" w:w="1750"/>
            <w:tcBorders>
              <w:top w:val="single" w:color="CBD5E0" w:sz="4"/>
              <w:left w:val="single" w:color="CBD5E0" w:sz="4"/>
              <w:bottom w:val="single" w:color="CBD5E0" w:sz="4"/>
              <w:right w:val="single" w:color="CBD5E0" w:sz="4"/>
            </w:tcBorders>
            <w:shd w:fill="FFFFFF" w:val="clear"/>
            <w:tcMar>
              <w:top w:type="dxa" w:w="120"/>
              <w:left w:type="dxa" w:w="150"/>
              <w:bottom w:type="dxa" w:w="120"/>
              <w:right w:type="dxa" w:w="150"/>
            </w:tcMar>
          </w:tcPr>
          <w:p>
            <w:r>
              <w:rPr>
                <w:rFonts w:ascii="Arial" w:cs="Arial" w:eastAsia="Arial" w:hAnsi="Arial"/>
                <w:b/>
                <w:bCs/>
                <w:color w:val="2D3748"/>
                <w:sz w:val="19"/>
                <w:szCs w:val="19"/>
              </w:rPr>
              <w:t xml:space="preserve">1. Throughput &amp; Ingestion Speed</w:t>
            </w:r>
          </w:p>
        </w:tc>
        <w:tc>
          <w:tcPr>
            <w:tcW w:type="pct" w:w="3250"/>
            <w:tcBorders>
              <w:top w:val="single" w:color="CBD5E0" w:sz="4"/>
              <w:left w:val="single" w:color="CBD5E0" w:sz="4"/>
              <w:bottom w:val="single" w:color="CBD5E0" w:sz="4"/>
              <w:right w:val="single" w:color="CBD5E0" w:sz="4"/>
            </w:tcBorders>
            <w:shd w:fill="FFFFFF" w:val="clear"/>
            <w:tcMar>
              <w:top w:type="dxa" w:w="120"/>
              <w:left w:type="dxa" w:w="150"/>
              <w:bottom w:type="dxa" w:w="120"/>
              <w:right w:type="dxa" w:w="150"/>
            </w:tcMar>
          </w:tcPr>
          <w:p>
            <w:r>
              <w:rPr>
                <w:rFonts w:ascii="Arial" w:cs="Arial" w:eastAsia="Arial" w:hAnsi="Arial"/>
                <w:b w:val="false"/>
                <w:bCs w:val="false"/>
                <w:color w:val="2D3748"/>
                <w:sz w:val="19"/>
                <w:szCs w:val="19"/>
              </w:rPr>
              <w:t xml:space="preserve">Mengalirkan dan meng-ingest 100.000 debitur ke Redis Cluster dalam waktu &lt; 15 detik (&gt; 10.000 records/detik)</w:t>
            </w:r>
          </w:p>
        </w:tc>
      </w:tr>
      <w:tr>
        <w:tc>
          <w:tcPr>
            <w:tcW w:type="pct" w:w="1750"/>
            <w:tcBorders>
              <w:top w:val="single" w:color="CBD5E0" w:sz="4"/>
              <w:left w:val="single" w:color="CBD5E0" w:sz="4"/>
              <w:bottom w:val="single" w:color="CBD5E0" w:sz="4"/>
              <w:right w:val="single" w:color="CBD5E0" w:sz="4"/>
            </w:tcBorders>
            <w:shd w:fill="F8FAFC" w:val="clear"/>
            <w:tcMar>
              <w:top w:type="dxa" w:w="120"/>
              <w:left w:type="dxa" w:w="150"/>
              <w:bottom w:type="dxa" w:w="120"/>
              <w:right w:type="dxa" w:w="150"/>
            </w:tcMar>
          </w:tcPr>
          <w:p>
            <w:r>
              <w:rPr>
                <w:rFonts w:ascii="Arial" w:cs="Arial" w:eastAsia="Arial" w:hAnsi="Arial"/>
                <w:b/>
                <w:bCs/>
                <w:color w:val="2D3748"/>
                <w:sz w:val="19"/>
                <w:szCs w:val="19"/>
              </w:rPr>
              <w:t xml:space="preserve">2. Efisiensi Alokasi Memori (Heap)</w:t>
            </w:r>
          </w:p>
        </w:tc>
        <w:tc>
          <w:tcPr>
            <w:tcW w:type="pct" w:w="3250"/>
            <w:tcBorders>
              <w:top w:val="single" w:color="CBD5E0" w:sz="4"/>
              <w:left w:val="single" w:color="CBD5E0" w:sz="4"/>
              <w:bottom w:val="single" w:color="CBD5E0" w:sz="4"/>
              <w:right w:val="single" w:color="CBD5E0" w:sz="4"/>
            </w:tcBorders>
            <w:shd w:fill="F8FAFC" w:val="clear"/>
            <w:tcMar>
              <w:top w:type="dxa" w:w="120"/>
              <w:left w:type="dxa" w:w="150"/>
              <w:bottom w:type="dxa" w:w="120"/>
              <w:right w:type="dxa" w:w="150"/>
            </w:tcMar>
          </w:tcPr>
          <w:p>
            <w:r>
              <w:rPr>
                <w:rFonts w:ascii="Arial" w:cs="Arial" w:eastAsia="Arial" w:hAnsi="Arial"/>
                <w:b w:val="false"/>
                <w:bCs w:val="false"/>
                <w:color w:val="2D3748"/>
                <w:sz w:val="19"/>
                <w:szCs w:val="19"/>
              </w:rPr>
              <w:t xml:space="preserve">Menjaga heap memory client/feeder tetap konstan dan sangat hemat (&lt; 25 MB) sepanjang streaming data</w:t>
            </w:r>
          </w:p>
        </w:tc>
      </w:tr>
      <w:tr>
        <w:tc>
          <w:tcPr>
            <w:tcW w:type="pct" w:w="1750"/>
            <w:tcBorders>
              <w:top w:val="single" w:color="CBD5E0" w:sz="4"/>
              <w:left w:val="single" w:color="CBD5E0" w:sz="4"/>
              <w:bottom w:val="single" w:color="CBD5E0" w:sz="4"/>
              <w:right w:val="single" w:color="CBD5E0" w:sz="4"/>
            </w:tcBorders>
            <w:shd w:fill="FFFFFF" w:val="clear"/>
            <w:tcMar>
              <w:top w:type="dxa" w:w="120"/>
              <w:left w:type="dxa" w:w="150"/>
              <w:bottom w:type="dxa" w:w="120"/>
              <w:right w:type="dxa" w:w="150"/>
            </w:tcMar>
          </w:tcPr>
          <w:p>
            <w:r>
              <w:rPr>
                <w:rFonts w:ascii="Arial" w:cs="Arial" w:eastAsia="Arial" w:hAnsi="Arial"/>
                <w:b/>
                <w:bCs/>
                <w:color w:val="2D3748"/>
                <w:sz w:val="19"/>
                <w:szCs w:val="19"/>
              </w:rPr>
              <w:t xml:space="preserve">3. Latensi Akses Penawaran (Retrieval)</w:t>
            </w:r>
          </w:p>
        </w:tc>
        <w:tc>
          <w:tcPr>
            <w:tcW w:type="pct" w:w="3250"/>
            <w:tcBorders>
              <w:top w:val="single" w:color="CBD5E0" w:sz="4"/>
              <w:left w:val="single" w:color="CBD5E0" w:sz="4"/>
              <w:bottom w:val="single" w:color="CBD5E0" w:sz="4"/>
              <w:right w:val="single" w:color="CBD5E0" w:sz="4"/>
            </w:tcBorders>
            <w:shd w:fill="FFFFFF" w:val="clear"/>
            <w:tcMar>
              <w:top w:type="dxa" w:w="120"/>
              <w:left w:type="dxa" w:w="150"/>
              <w:bottom w:type="dxa" w:w="120"/>
              <w:right w:type="dxa" w:w="150"/>
            </w:tcMar>
          </w:tcPr>
          <w:p>
            <w:r>
              <w:rPr>
                <w:rFonts w:ascii="Arial" w:cs="Arial" w:eastAsia="Arial" w:hAnsi="Arial"/>
                <w:b w:val="false"/>
                <w:bCs w:val="false"/>
                <w:color w:val="2D3748"/>
                <w:sz w:val="19"/>
                <w:szCs w:val="19"/>
              </w:rPr>
              <w:t xml:space="preserve">Endpoint pembacaan link WA (/s/:token) harus merespons dalam waktu &lt; 5 ms (sub-millisecond O(1) cache lookup)</w:t>
            </w:r>
          </w:p>
        </w:tc>
      </w:tr>
      <w:tr>
        <w:tc>
          <w:tcPr>
            <w:tcW w:type="pct" w:w="1750"/>
            <w:tcBorders>
              <w:top w:val="single" w:color="CBD5E0" w:sz="4"/>
              <w:left w:val="single" w:color="CBD5E0" w:sz="4"/>
              <w:bottom w:val="single" w:color="CBD5E0" w:sz="4"/>
              <w:right w:val="single" w:color="CBD5E0" w:sz="4"/>
            </w:tcBorders>
            <w:shd w:fill="F8FAFC" w:val="clear"/>
            <w:tcMar>
              <w:top w:type="dxa" w:w="120"/>
              <w:left w:type="dxa" w:w="150"/>
              <w:bottom w:type="dxa" w:w="120"/>
              <w:right w:type="dxa" w:w="150"/>
            </w:tcMar>
          </w:tcPr>
          <w:p>
            <w:r>
              <w:rPr>
                <w:rFonts w:ascii="Arial" w:cs="Arial" w:eastAsia="Arial" w:hAnsi="Arial"/>
                <w:b/>
                <w:bCs/>
                <w:color w:val="2D3748"/>
                <w:sz w:val="19"/>
                <w:szCs w:val="19"/>
              </w:rPr>
              <w:t xml:space="preserve">4. Keamanan &amp; Kepatuhan Data</w:t>
            </w:r>
          </w:p>
        </w:tc>
        <w:tc>
          <w:tcPr>
            <w:tcW w:type="pct" w:w="3250"/>
            <w:tcBorders>
              <w:top w:val="single" w:color="CBD5E0" w:sz="4"/>
              <w:left w:val="single" w:color="CBD5E0" w:sz="4"/>
              <w:bottom w:val="single" w:color="CBD5E0" w:sz="4"/>
              <w:right w:val="single" w:color="CBD5E0" w:sz="4"/>
            </w:tcBorders>
            <w:shd w:fill="F8FAFC" w:val="clear"/>
            <w:tcMar>
              <w:top w:type="dxa" w:w="120"/>
              <w:left w:type="dxa" w:w="150"/>
              <w:bottom w:type="dxa" w:w="120"/>
              <w:right w:type="dxa" w:w="150"/>
            </w:tcMar>
          </w:tcPr>
          <w:p>
            <w:r>
              <w:rPr>
                <w:rFonts w:ascii="Arial" w:cs="Arial" w:eastAsia="Arial" w:hAnsi="Arial"/>
                <w:b w:val="false"/>
                <w:bCs w:val="false"/>
                <w:color w:val="2D3748"/>
                <w:sz w:val="19"/>
                <w:szCs w:val="19"/>
              </w:rPr>
              <w:t xml:space="preserve">Token acak 128-bit yang URL-safe (mencegah IDOR / enumerasi link), masking rekening debitur (UU PDP), dan TTL 48 jam</w:t>
            </w:r>
          </w:p>
        </w:tc>
      </w:tr>
      <w:tr>
        <w:tc>
          <w:tcPr>
            <w:tcW w:type="pct" w:w="1750"/>
            <w:tcBorders>
              <w:top w:val="single" w:color="CBD5E0" w:sz="4"/>
              <w:left w:val="single" w:color="CBD5E0" w:sz="4"/>
              <w:bottom w:val="single" w:color="CBD5E0" w:sz="4"/>
              <w:right w:val="single" w:color="CBD5E0" w:sz="4"/>
            </w:tcBorders>
            <w:shd w:fill="FFFFFF" w:val="clear"/>
            <w:tcMar>
              <w:top w:type="dxa" w:w="120"/>
              <w:left w:type="dxa" w:w="150"/>
              <w:bottom w:type="dxa" w:w="120"/>
              <w:right w:type="dxa" w:w="150"/>
            </w:tcMar>
          </w:tcPr>
          <w:p>
            <w:r>
              <w:rPr>
                <w:rFonts w:ascii="Arial" w:cs="Arial" w:eastAsia="Arial" w:hAnsi="Arial"/>
                <w:b/>
                <w:bCs/>
                <w:color w:val="2D3748"/>
                <w:sz w:val="19"/>
                <w:szCs w:val="19"/>
              </w:rPr>
              <w:t xml:space="preserve">5. Auditability &amp; Reverse Index</w:t>
            </w:r>
          </w:p>
        </w:tc>
        <w:tc>
          <w:tcPr>
            <w:tcW w:type="pct" w:w="3250"/>
            <w:tcBorders>
              <w:top w:val="single" w:color="CBD5E0" w:sz="4"/>
              <w:left w:val="single" w:color="CBD5E0" w:sz="4"/>
              <w:bottom w:val="single" w:color="CBD5E0" w:sz="4"/>
              <w:right w:val="single" w:color="CBD5E0" w:sz="4"/>
            </w:tcBorders>
            <w:shd w:fill="FFFFFF" w:val="clear"/>
            <w:tcMar>
              <w:top w:type="dxa" w:w="120"/>
              <w:left w:type="dxa" w:w="150"/>
              <w:bottom w:type="dxa" w:w="120"/>
              <w:right w:type="dxa" w:w="150"/>
            </w:tcMar>
          </w:tcPr>
          <w:p>
            <w:r>
              <w:rPr>
                <w:rFonts w:ascii="Arial" w:cs="Arial" w:eastAsia="Arial" w:hAnsi="Arial"/>
                <w:b w:val="false"/>
                <w:bCs w:val="false"/>
                <w:color w:val="2D3748"/>
                <w:sz w:val="19"/>
                <w:szCs w:val="19"/>
              </w:rPr>
              <w:t xml:space="preserve">Penyediaan indeks balik (NIK -&gt; Token) untuk pelacakan penawaran, audit Mantri BRI, dan kemampuan pembatalan sepihak</w:t>
            </w:r>
          </w:p>
        </w:tc>
      </w:tr>
    </w:tbl>
    <w:p>
      <w:pPr>
        <w:spacing w:after="200"/>
      </w:pPr>
    </w:p>
    <w:p>
      <w:pPr>
        <w:pStyle w:val="Heading1"/>
        <w:spacing w:after="140" w:before="200"/>
      </w:pPr>
      <w:r>
        <w:rPr>
          <w:b/>
          <w:bCs/>
          <w:color w:val="0A2540"/>
          <w:sz w:val="26"/>
          <w:szCs w:val="26"/>
        </w:rPr>
        <w:t xml:space="preserve">3. A – ACTION (Tindakan Teknis &amp; Solusi yang Diambil)</w:t>
      </w:r>
    </w:p>
    <w:p>
      <w:pPr>
        <w:spacing w:after="140"/>
      </w:pPr>
      <w:r>
        <w:t xml:space="preserve">Untuk menjawab tantangan tersebut, saya mengambil serangkaian keputusan arsitektur dan langkah implementasi teknis berikut:</w:t>
      </w:r>
    </w:p>
    <w:p>
      <w:pPr>
        <w:spacing w:after="80"/>
      </w:pPr>
      <w:r>
        <w:rPr>
          <w:b/>
          <w:bCs/>
          <w:color w:val="0066CC"/>
          <w:sz w:val="22"/>
          <w:szCs w:val="22"/>
        </w:rPr>
        <w:t xml:space="preserve">A. Implementasi gRPC Client Streaming Berbasis HTTP/2 Multiplexing</w:t>
      </w:r>
    </w:p>
    <w:p>
      <w:pPr>
        <w:spacing w:after="140"/>
      </w:pPr>
      <w:r>
        <w:t xml:space="preserve">Alih-alih menggunakan REST API biasa, saya mendesain kontrak komunikasi performa tinggi menggunakan Protocol Buffers v3: </w:t>
      </w:r>
      <w:r>
        <w:rPr>
          <w:b/>
          <w:bCs/>
        </w:rPr>
        <w:t xml:space="preserve">rpc StreamPreWarmDebitur(stream PreWarmDebiturChunk) returns (PreWarmSummaryResponse)</w:t>
      </w:r>
      <w:r>
        <w:t xml:space="preserve">. Melalui gRPC Client Streaming, client Batch Feeder cukup membuka </w:t>
      </w:r>
      <w:r>
        <w:rPr>
          <w:b/>
          <w:bCs/>
        </w:rPr>
        <w:t xml:space="preserve">1 koneksi TCP tunggal (HTTP/2 multiplexing)</w:t>
      </w:r>
      <w:r>
        <w:t xml:space="preserve"> untuk mengalirkan 100.000 data debitur yang dikemas dalam bentuk batch/chunk (500 debitur per pesan stream). Pola ini mengeliminasi overhead pembuatan koneksi TCP dan TLS handshake yang biasanya terjadi pada 100.000 HTTP request.</w:t>
      </w:r>
    </w:p>
    <w:p>
      <w:pPr>
        <w:spacing w:after="80"/>
      </w:pPr>
      <w:r>
        <w:rPr>
          <w:b/>
          <w:bCs/>
          <w:color w:val="0066CC"/>
          <w:sz w:val="22"/>
          <w:szCs w:val="22"/>
        </w:rPr>
        <w:t xml:space="preserve">B. Bounded Memory Streaming dengan Go Channels (Flat Memory Footprint)</w:t>
      </w:r>
    </w:p>
    <w:p>
      <w:pPr>
        <w:spacing w:after="140"/>
      </w:pPr>
      <w:r>
        <w:t xml:space="preserve">Untuk mencegah lonjakan memori (heap spike) pada proses pengiriman dataset raksasa, saya membangun generator stream berbasis </w:t>
      </w:r>
      <w:r>
        <w:rPr>
          <w:b/>
          <w:bCs/>
        </w:rPr>
        <w:t xml:space="preserve">buffered channel Go dengan kapasitas terbatas (bounded buffer)</w:t>
      </w:r>
      <w:r>
        <w:t xml:space="preserve"> berukuran 2x chunk size (1.000 item). Pola ini mensimulasikan mekanisme cursor database atau kursor Data Lake. Generator menghasilkan data secara on-demand, dan dispatcher mengalirkan 500 item per chunk lalu segera mendaur ulang slice buffer menggunakan </w:t>
      </w:r>
      <w:r>
        <w:rPr>
          <w:b/>
          <w:bCs/>
        </w:rPr>
        <w:t xml:space="preserve">make([]*loanv1.DebiturCandidate, 0, chunkSize)</w:t>
      </w:r>
      <w:r>
        <w:t xml:space="preserve">. Dengan demikian, memori kerja RAM client tetap stabil dan datar di angka ~18–20 MB tanpa pernah menampung 100.000 objek sekaligus di RAM.</w:t>
      </w:r>
    </w:p>
    <w:p>
      <w:pPr>
        <w:spacing w:after="80"/>
      </w:pPr>
      <w:r>
        <w:rPr>
          <w:b/>
          <w:bCs/>
          <w:color w:val="0066CC"/>
          <w:sz w:val="22"/>
          <w:szCs w:val="22"/>
        </w:rPr>
        <w:t xml:space="preserve">C. Redis Pipelining &amp; Penanganan Universal Sharded Cluster</w:t>
      </w:r>
    </w:p>
    <w:p>
      <w:pPr>
        <w:spacing w:after="140"/>
      </w:pPr>
      <w:r>
        <w:t xml:space="preserve">Di sisi server (Loan Service), setiap kali menerima chunk berukuran 500 debitur, sistem tidak melakukan eksekusi perintah Redis satu per satu. Saya mengimplementasikan </w:t>
      </w:r>
      <w:r>
        <w:rPr>
          <w:b/>
          <w:bCs/>
        </w:rPr>
        <w:t xml:space="preserve">Redis Pipelining (pipe.Exec(ctx))</w:t>
      </w:r>
      <w:r>
        <w:t xml:space="preserve"> pada repository. Sebanyak 500 pasang data dimasukkan ke dalam satu antrean pipeline sehingga 100.000 data selesai dieksekusi hanya dalam 200 kali round-trip jaringan ke Redis. Untuk mencegah galat </w:t>
      </w:r>
      <w:r>
        <w:rPr>
          <w:b/>
          <w:bCs/>
        </w:rPr>
        <w:t xml:space="preserve">CROSSSLOT</w:t>
      </w:r>
      <w:r>
        <w:t xml:space="preserve"> pada arsitektur Redis Cluster sharded, saya menggunakan </w:t>
      </w:r>
      <w:r>
        <w:rPr>
          <w:b/>
          <w:bCs/>
        </w:rPr>
        <w:t xml:space="preserve">redis.UniversalClient (go-redis/v9)</w:t>
      </w:r>
      <w:r>
        <w:t xml:space="preserve"> yang secara transparan mengelompokkan pipeline berdasarkan hash slot node cluster terkait.</w:t>
      </w:r>
    </w:p>
    <w:p>
      <w:pPr>
        <w:spacing w:after="80"/>
      </w:pPr>
      <w:r>
        <w:rPr>
          <w:b/>
          <w:bCs/>
          <w:color w:val="0066CC"/>
          <w:sz w:val="22"/>
          <w:szCs w:val="22"/>
        </w:rPr>
        <w:t xml:space="preserve">D. Desain Dual-Key Storage, Keamanan Token Kriptografis, &amp; Masking</w:t>
      </w:r>
    </w:p>
    <w:p>
      <w:pPr>
        <w:pStyle w:val="ListParagraph"/>
        <w:numPr>
          <w:ilvl w:val="0"/>
          <w:numId w:val="1"/>
        </w:numPr>
        <w:spacing w:after="80"/>
      </w:pPr>
      <w:r>
        <w:rPr>
          <w:b/>
          <w:bCs/>
        </w:rPr>
        <w:t xml:space="preserve">1. Struktur Dual Key: </w:t>
      </w:r>
      <w:r>
        <w:t xml:space="preserve">Saya merancang penyimpanan Redis dalam dua kunci terindeks: (a) </w:t>
      </w:r>
      <w:r>
        <w:rPr>
          <w:b/>
          <w:bCs/>
        </w:rPr>
        <w:t xml:space="preserve">keceku:token:{token}</w:t>
      </w:r>
      <w:r>
        <w:t xml:space="preserve"> yang menyimpan serialized payload debitur untuk pembacaan O(1) secepat kilat saat debitur membuka link penawaran, dan (b) </w:t>
      </w:r>
      <w:r>
        <w:rPr>
          <w:b/>
          <w:bCs/>
        </w:rPr>
        <w:t xml:space="preserve">keceku:nik:{nik}</w:t>
      </w:r>
      <w:r>
        <w:t xml:space="preserve"> sebagai reverse index bagi Mantri BRI untuk mencari token berdasarkan NIK debitur, melakukan re-send penawaran, atau membatalkan penawaran jika profil debitur berubah. Keduanya diberi TTL atomik 48 jam.</w:t>
      </w:r>
    </w:p>
    <w:p>
      <w:pPr>
        <w:pStyle w:val="ListParagraph"/>
        <w:numPr>
          <w:ilvl w:val="0"/>
          <w:numId w:val="1"/>
        </w:numPr>
        <w:spacing w:after="80"/>
      </w:pPr>
      <w:r>
        <w:rPr>
          <w:b/>
          <w:bCs/>
        </w:rPr>
        <w:t xml:space="preserve">2. Keamanan Kriptografis: </w:t>
      </w:r>
      <w:r>
        <w:t xml:space="preserve">Alih-alih menggunakan incremental ID atau hash NIK yang rentan diserang IDOR (Insecure Direct Object Reference) atau tebak URL, saya membuat generator token menggunakan </w:t>
      </w:r>
      <w:r>
        <w:rPr>
          <w:b/>
          <w:bCs/>
        </w:rPr>
        <w:t xml:space="preserve">crypto/rand</w:t>
      </w:r>
      <w:r>
        <w:t xml:space="preserve"> sebesar 16 byte acak (32 karakter hex URL-safe dengan entropi 128-bit) yang mustahil ditebak oleh pihak ketiga.</w:t>
      </w:r>
    </w:p>
    <w:p>
      <w:pPr>
        <w:pStyle w:val="ListParagraph"/>
        <w:numPr>
          <w:ilvl w:val="0"/>
          <w:numId w:val="1"/>
        </w:numPr>
        <w:spacing w:after="140"/>
      </w:pPr>
      <w:r>
        <w:rPr>
          <w:b/>
          <w:bCs/>
        </w:rPr>
        <w:t xml:space="preserve">3. Kepatuhan Privasi Data Perbankan (UU PDP): </w:t>
      </w:r>
      <w:r>
        <w:t xml:space="preserve">Pada layer penyajian HTTP (/s/:token), sistem menerapkan masking nomor rekening (contoh: 012-****-999) sebelum dikirimkan ke peramban mobile debitur untuk menjaga kerahasiaan informasi finansial nasabah.</w:t>
      </w:r>
    </w:p>
    <w:p>
      <w:pPr>
        <w:spacing w:after="80"/>
      </w:pPr>
      <w:r>
        <w:rPr>
          <w:b/>
          <w:bCs/>
          <w:color w:val="0066CC"/>
          <w:sz w:val="22"/>
          <w:szCs w:val="22"/>
        </w:rPr>
        <w:t xml:space="preserve">E. Clean Architecture Monorepo &amp; Otomasi Piloting Terintegrasi</w:t>
      </w:r>
    </w:p>
    <w:p>
      <w:pPr>
        <w:spacing w:after="200"/>
      </w:pPr>
      <w:r>
        <w:t xml:space="preserve">Saya menyusun repositori dengan standar </w:t>
      </w:r>
      <w:r>
        <w:rPr>
          <w:b/>
          <w:bCs/>
        </w:rPr>
        <w:t xml:space="preserve">Go Clean Architecture Monorepo</w:t>
      </w:r>
      <w:r>
        <w:t xml:space="preserve"> (Domain, Model, Adapter Handler, Repository, Service) yang memisahkan tanggung jawab secara tegas. Untuk membuktikan performa secara obyektif, saya menciptakan perintah CLI otomatis via Cobra: </w:t>
      </w:r>
      <w:r>
        <w:rPr>
          <w:b/>
          <w:bCs/>
        </w:rPr>
        <w:t xml:space="preserve">go run main.go pilot --count=100000</w:t>
      </w:r>
      <w:r>
        <w:t xml:space="preserve">. Perintah ini menyalakan server gRPC + HTTP Fiber v3, memicu batch streaming 100.000 debitur, mencatat statistik runtime.MemStats, memverifikasi integritas cache di Redis, dan langsung menguji latensi endpoint HTTP penawaran secara otomatis.</w:t>
      </w:r>
    </w:p>
    <w:p>
      <w:pPr>
        <w:pStyle w:val="Heading1"/>
        <w:spacing w:after="140" w:before="200"/>
      </w:pPr>
      <w:r>
        <w:rPr>
          <w:b/>
          <w:bCs/>
          <w:color w:val="0A2540"/>
          <w:sz w:val="26"/>
          <w:szCs w:val="26"/>
        </w:rPr>
        <w:t xml:space="preserve">4. R – RESULT (Hasil &amp; Dampak Terukur)</w:t>
      </w:r>
    </w:p>
    <w:p>
      <w:pPr>
        <w:spacing w:after="140"/>
      </w:pPr>
      <w:r>
        <w:t xml:space="preserve">Melalui arsitektur dan solusi teknis yang diterapkan, proyek ini mencapai hasil pengujian performa yang melampaui target awal: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08"/>
        <w:gridCol w:w="3159"/>
        <w:gridCol w:w="3159"/>
      </w:tblGrid>
      <w:tr>
        <w:tc>
          <w:tcPr>
            <w:tcW w:type="pct" w:w="1500"/>
            <w:tcBorders>
              <w:top w:val="single" w:color="CBD5E0" w:sz="4"/>
              <w:left w:val="single" w:color="CBD5E0" w:sz="4"/>
              <w:bottom w:val="single" w:color="CBD5E0" w:sz="4"/>
              <w:right w:val="single" w:color="CBD5E0" w:sz="4"/>
            </w:tcBorders>
            <w:shd w:fill="0A2540" w:val="clear"/>
            <w:tcMar>
              <w:top w:type="dxa" w:w="120"/>
              <w:left w:type="dxa" w:w="150"/>
              <w:bottom w:type="dxa" w:w="120"/>
              <w:right w:type="dxa" w:w="150"/>
            </w:tcMar>
          </w:tcPr>
          <w:p>
            <w:r>
              <w:rPr>
                <w:rFonts w:ascii="Arial" w:cs="Arial" w:eastAsia="Arial" w:hAnsi="Arial"/>
                <w:b/>
                <w:bCs/>
                <w:color w:val="FFFFFF"/>
                <w:sz w:val="20"/>
                <w:szCs w:val="20"/>
              </w:rPr>
              <w:t xml:space="preserve">Parameter Pengujian</w:t>
            </w:r>
          </w:p>
        </w:tc>
        <w:tc>
          <w:tcPr>
            <w:tcW w:type="pct" w:w="1750"/>
            <w:tcBorders>
              <w:top w:val="single" w:color="CBD5E0" w:sz="4"/>
              <w:left w:val="single" w:color="CBD5E0" w:sz="4"/>
              <w:bottom w:val="single" w:color="CBD5E0" w:sz="4"/>
              <w:right w:val="single" w:color="CBD5E0" w:sz="4"/>
            </w:tcBorders>
            <w:shd w:fill="0A2540" w:val="clear"/>
            <w:tcMar>
              <w:top w:type="dxa" w:w="120"/>
              <w:left w:type="dxa" w:w="150"/>
              <w:bottom w:type="dxa" w:w="120"/>
              <w:right w:type="dxa" w:w="150"/>
            </w:tcMar>
          </w:tcPr>
          <w:p>
            <w:r>
              <w:rPr>
                <w:rFonts w:ascii="Arial" w:cs="Arial" w:eastAsia="Arial" w:hAnsi="Arial"/>
                <w:b/>
                <w:bCs/>
                <w:color w:val="FFFFFF"/>
                <w:sz w:val="20"/>
                <w:szCs w:val="20"/>
              </w:rPr>
              <w:t xml:space="preserve">Metode REST Tradisional</w:t>
            </w:r>
          </w:p>
        </w:tc>
        <w:tc>
          <w:tcPr>
            <w:tcW w:type="pct" w:w="1750"/>
            <w:tcBorders>
              <w:top w:val="single" w:color="CBD5E0" w:sz="4"/>
              <w:left w:val="single" w:color="CBD5E0" w:sz="4"/>
              <w:bottom w:val="single" w:color="CBD5E0" w:sz="4"/>
              <w:right w:val="single" w:color="CBD5E0" w:sz="4"/>
            </w:tcBorders>
            <w:shd w:fill="0A2540" w:val="clear"/>
            <w:tcMar>
              <w:top w:type="dxa" w:w="120"/>
              <w:left w:type="dxa" w:w="150"/>
              <w:bottom w:type="dxa" w:w="120"/>
              <w:right w:type="dxa" w:w="150"/>
            </w:tcMar>
          </w:tcPr>
          <w:p>
            <w:r>
              <w:rPr>
                <w:rFonts w:ascii="Arial" w:cs="Arial" w:eastAsia="Arial" w:hAnsi="Arial"/>
                <w:b/>
                <w:bCs/>
                <w:color w:val="FFFFFF"/>
                <w:sz w:val="20"/>
                <w:szCs w:val="20"/>
              </w:rPr>
              <w:t xml:space="preserve">Solusi Keceku Suplesi Engine</w:t>
            </w:r>
          </w:p>
        </w:tc>
      </w:tr>
      <w:tr>
        <w:tc>
          <w:tcPr>
            <w:tcW w:type="pct" w:w="1500"/>
            <w:tcBorders>
              <w:top w:val="single" w:color="CBD5E0" w:sz="4"/>
              <w:left w:val="single" w:color="CBD5E0" w:sz="4"/>
              <w:bottom w:val="single" w:color="CBD5E0" w:sz="4"/>
              <w:right w:val="single" w:color="CBD5E0" w:sz="4"/>
            </w:tcBorders>
            <w:shd w:fill="FFFFFF" w:val="clear"/>
            <w:tcMar>
              <w:top w:type="dxa" w:w="120"/>
              <w:left w:type="dxa" w:w="150"/>
              <w:bottom w:type="dxa" w:w="120"/>
              <w:right w:type="dxa" w:w="150"/>
            </w:tcMar>
          </w:tcPr>
          <w:p>
            <w:r>
              <w:rPr>
                <w:rFonts w:ascii="Arial" w:cs="Arial" w:eastAsia="Arial" w:hAnsi="Arial"/>
                <w:b/>
                <w:bCs/>
                <w:color w:val="2D3748"/>
                <w:sz w:val="19"/>
                <w:szCs w:val="19"/>
              </w:rPr>
              <w:t xml:space="preserve">Durasi Ingestion 100k Data</w:t>
            </w:r>
          </w:p>
        </w:tc>
        <w:tc>
          <w:tcPr>
            <w:tcW w:type="pct" w:w="1750"/>
            <w:tcBorders>
              <w:top w:val="single" w:color="CBD5E0" w:sz="4"/>
              <w:left w:val="single" w:color="CBD5E0" w:sz="4"/>
              <w:bottom w:val="single" w:color="CBD5E0" w:sz="4"/>
              <w:right w:val="single" w:color="CBD5E0" w:sz="4"/>
            </w:tcBorders>
            <w:shd w:fill="FFFFFF" w:val="clear"/>
            <w:tcMar>
              <w:top w:type="dxa" w:w="120"/>
              <w:left w:type="dxa" w:w="150"/>
              <w:bottom w:type="dxa" w:w="120"/>
              <w:right w:type="dxa" w:w="150"/>
            </w:tcMar>
          </w:tcPr>
          <w:p>
            <w:r>
              <w:rPr>
                <w:rFonts w:ascii="Arial" w:cs="Arial" w:eastAsia="Arial" w:hAnsi="Arial"/>
                <w:b w:val="false"/>
                <w:bCs w:val="false"/>
                <w:color w:val="2D3748"/>
                <w:sz w:val="19"/>
                <w:szCs w:val="19"/>
              </w:rPr>
              <w:t xml:space="preserve">30 – 60 Menit (100k HTTP calls)</w:t>
            </w:r>
          </w:p>
        </w:tc>
        <w:tc>
          <w:tcPr>
            <w:tcW w:type="pct" w:w="1750"/>
            <w:tcBorders>
              <w:top w:val="single" w:color="CBD5E0" w:sz="4"/>
              <w:left w:val="single" w:color="CBD5E0" w:sz="4"/>
              <w:bottom w:val="single" w:color="CBD5E0" w:sz="4"/>
              <w:right w:val="single" w:color="CBD5E0" w:sz="4"/>
            </w:tcBorders>
            <w:shd w:fill="FFFFFF" w:val="clear"/>
            <w:tcMar>
              <w:top w:type="dxa" w:w="120"/>
              <w:left w:type="dxa" w:w="150"/>
              <w:bottom w:type="dxa" w:w="120"/>
              <w:right w:type="dxa" w:w="150"/>
            </w:tcMar>
          </w:tcPr>
          <w:p>
            <w:r>
              <w:rPr>
                <w:rFonts w:ascii="Arial" w:cs="Arial" w:eastAsia="Arial" w:hAnsi="Arial"/>
                <w:b/>
                <w:bCs/>
                <w:color w:val="2D3748"/>
                <w:sz w:val="19"/>
                <w:szCs w:val="19"/>
              </w:rPr>
              <w:t xml:space="preserve">~4 – 7 Detik (Target tercapai!)</w:t>
            </w:r>
          </w:p>
        </w:tc>
      </w:tr>
      <w:tr>
        <w:tc>
          <w:tcPr>
            <w:tcW w:type="pct" w:w="1500"/>
            <w:tcBorders>
              <w:top w:val="single" w:color="CBD5E0" w:sz="4"/>
              <w:left w:val="single" w:color="CBD5E0" w:sz="4"/>
              <w:bottom w:val="single" w:color="CBD5E0" w:sz="4"/>
              <w:right w:val="single" w:color="CBD5E0" w:sz="4"/>
            </w:tcBorders>
            <w:shd w:fill="F8FAFC" w:val="clear"/>
            <w:tcMar>
              <w:top w:type="dxa" w:w="120"/>
              <w:left w:type="dxa" w:w="150"/>
              <w:bottom w:type="dxa" w:w="120"/>
              <w:right w:type="dxa" w:w="150"/>
            </w:tcMar>
          </w:tcPr>
          <w:p>
            <w:r>
              <w:rPr>
                <w:rFonts w:ascii="Arial" w:cs="Arial" w:eastAsia="Arial" w:hAnsi="Arial"/>
                <w:b/>
                <w:bCs/>
                <w:color w:val="2D3748"/>
                <w:sz w:val="19"/>
                <w:szCs w:val="19"/>
              </w:rPr>
              <w:t xml:space="preserve">Throughput Streaming</w:t>
            </w:r>
          </w:p>
        </w:tc>
        <w:tc>
          <w:tcPr>
            <w:tcW w:type="pct" w:w="1750"/>
            <w:tcBorders>
              <w:top w:val="single" w:color="CBD5E0" w:sz="4"/>
              <w:left w:val="single" w:color="CBD5E0" w:sz="4"/>
              <w:bottom w:val="single" w:color="CBD5E0" w:sz="4"/>
              <w:right w:val="single" w:color="CBD5E0" w:sz="4"/>
            </w:tcBorders>
            <w:shd w:fill="F8FAFC" w:val="clear"/>
            <w:tcMar>
              <w:top w:type="dxa" w:w="120"/>
              <w:left w:type="dxa" w:w="150"/>
              <w:bottom w:type="dxa" w:w="120"/>
              <w:right w:type="dxa" w:w="150"/>
            </w:tcMar>
          </w:tcPr>
          <w:p>
            <w:r>
              <w:rPr>
                <w:rFonts w:ascii="Arial" w:cs="Arial" w:eastAsia="Arial" w:hAnsi="Arial"/>
                <w:b w:val="false"/>
                <w:bCs w:val="false"/>
                <w:color w:val="2D3748"/>
                <w:sz w:val="19"/>
                <w:szCs w:val="19"/>
              </w:rPr>
              <w:t xml:space="preserve">~30 – 50 records/detik</w:t>
            </w:r>
          </w:p>
        </w:tc>
        <w:tc>
          <w:tcPr>
            <w:tcW w:type="pct" w:w="1750"/>
            <w:tcBorders>
              <w:top w:val="single" w:color="CBD5E0" w:sz="4"/>
              <w:left w:val="single" w:color="CBD5E0" w:sz="4"/>
              <w:bottom w:val="single" w:color="CBD5E0" w:sz="4"/>
              <w:right w:val="single" w:color="CBD5E0" w:sz="4"/>
            </w:tcBorders>
            <w:shd w:fill="F8FAFC" w:val="clear"/>
            <w:tcMar>
              <w:top w:type="dxa" w:w="120"/>
              <w:left w:type="dxa" w:w="150"/>
              <w:bottom w:type="dxa" w:w="120"/>
              <w:right w:type="dxa" w:w="150"/>
            </w:tcMar>
          </w:tcPr>
          <w:p>
            <w:r>
              <w:rPr>
                <w:rFonts w:ascii="Arial" w:cs="Arial" w:eastAsia="Arial" w:hAnsi="Arial"/>
                <w:b/>
                <w:bCs/>
                <w:color w:val="2D3748"/>
                <w:sz w:val="19"/>
                <w:szCs w:val="19"/>
              </w:rPr>
              <w:t xml:space="preserve">15.000 – 25.000 records/detik</w:t>
            </w:r>
          </w:p>
        </w:tc>
      </w:tr>
      <w:tr>
        <w:tc>
          <w:tcPr>
            <w:tcW w:type="pct" w:w="1500"/>
            <w:tcBorders>
              <w:top w:val="single" w:color="CBD5E0" w:sz="4"/>
              <w:left w:val="single" w:color="CBD5E0" w:sz="4"/>
              <w:bottom w:val="single" w:color="CBD5E0" w:sz="4"/>
              <w:right w:val="single" w:color="CBD5E0" w:sz="4"/>
            </w:tcBorders>
            <w:shd w:fill="FFFFFF" w:val="clear"/>
            <w:tcMar>
              <w:top w:type="dxa" w:w="120"/>
              <w:left w:type="dxa" w:w="150"/>
              <w:bottom w:type="dxa" w:w="120"/>
              <w:right w:type="dxa" w:w="150"/>
            </w:tcMar>
          </w:tcPr>
          <w:p>
            <w:r>
              <w:rPr>
                <w:rFonts w:ascii="Arial" w:cs="Arial" w:eastAsia="Arial" w:hAnsi="Arial"/>
                <w:b/>
                <w:bCs/>
                <w:color w:val="2D3748"/>
                <w:sz w:val="19"/>
                <w:szCs w:val="19"/>
              </w:rPr>
              <w:t xml:space="preserve">Network Round-Trip Overhead</w:t>
            </w:r>
          </w:p>
        </w:tc>
        <w:tc>
          <w:tcPr>
            <w:tcW w:type="pct" w:w="1750"/>
            <w:tcBorders>
              <w:top w:val="single" w:color="CBD5E0" w:sz="4"/>
              <w:left w:val="single" w:color="CBD5E0" w:sz="4"/>
              <w:bottom w:val="single" w:color="CBD5E0" w:sz="4"/>
              <w:right w:val="single" w:color="CBD5E0" w:sz="4"/>
            </w:tcBorders>
            <w:shd w:fill="FFFFFF" w:val="clear"/>
            <w:tcMar>
              <w:top w:type="dxa" w:w="120"/>
              <w:left w:type="dxa" w:w="150"/>
              <w:bottom w:type="dxa" w:w="120"/>
              <w:right w:type="dxa" w:w="150"/>
            </w:tcMar>
          </w:tcPr>
          <w:p>
            <w:r>
              <w:rPr>
                <w:rFonts w:ascii="Arial" w:cs="Arial" w:eastAsia="Arial" w:hAnsi="Arial"/>
                <w:b w:val="false"/>
                <w:bCs w:val="false"/>
                <w:color w:val="2D3748"/>
                <w:sz w:val="19"/>
                <w:szCs w:val="19"/>
              </w:rPr>
              <w:t xml:space="preserve">100.000 network round-trip</w:t>
            </w:r>
          </w:p>
        </w:tc>
        <w:tc>
          <w:tcPr>
            <w:tcW w:type="pct" w:w="1750"/>
            <w:tcBorders>
              <w:top w:val="single" w:color="CBD5E0" w:sz="4"/>
              <w:left w:val="single" w:color="CBD5E0" w:sz="4"/>
              <w:bottom w:val="single" w:color="CBD5E0" w:sz="4"/>
              <w:right w:val="single" w:color="CBD5E0" w:sz="4"/>
            </w:tcBorders>
            <w:shd w:fill="FFFFFF" w:val="clear"/>
            <w:tcMar>
              <w:top w:type="dxa" w:w="120"/>
              <w:left w:type="dxa" w:w="150"/>
              <w:bottom w:type="dxa" w:w="120"/>
              <w:right w:type="dxa" w:w="150"/>
            </w:tcMar>
          </w:tcPr>
          <w:p>
            <w:r>
              <w:rPr>
                <w:rFonts w:ascii="Arial" w:cs="Arial" w:eastAsia="Arial" w:hAnsi="Arial"/>
                <w:b/>
                <w:bCs/>
                <w:color w:val="2D3748"/>
                <w:sz w:val="19"/>
                <w:szCs w:val="19"/>
              </w:rPr>
              <w:t xml:space="preserve">200 chunk round-trip (Pangkas 99.8%)</w:t>
            </w:r>
          </w:p>
        </w:tc>
      </w:tr>
      <w:tr>
        <w:tc>
          <w:tcPr>
            <w:tcW w:type="pct" w:w="1500"/>
            <w:tcBorders>
              <w:top w:val="single" w:color="CBD5E0" w:sz="4"/>
              <w:left w:val="single" w:color="CBD5E0" w:sz="4"/>
              <w:bottom w:val="single" w:color="CBD5E0" w:sz="4"/>
              <w:right w:val="single" w:color="CBD5E0" w:sz="4"/>
            </w:tcBorders>
            <w:shd w:fill="F8FAFC" w:val="clear"/>
            <w:tcMar>
              <w:top w:type="dxa" w:w="120"/>
              <w:left w:type="dxa" w:w="150"/>
              <w:bottom w:type="dxa" w:w="120"/>
              <w:right w:type="dxa" w:w="150"/>
            </w:tcMar>
          </w:tcPr>
          <w:p>
            <w:r>
              <w:rPr>
                <w:rFonts w:ascii="Arial" w:cs="Arial" w:eastAsia="Arial" w:hAnsi="Arial"/>
                <w:b/>
                <w:bCs/>
                <w:color w:val="2D3748"/>
                <w:sz w:val="19"/>
                <w:szCs w:val="19"/>
              </w:rPr>
              <w:t xml:space="preserve">Konsumsi Memori (Client Heap)</w:t>
            </w:r>
          </w:p>
        </w:tc>
        <w:tc>
          <w:tcPr>
            <w:tcW w:type="pct" w:w="1750"/>
            <w:tcBorders>
              <w:top w:val="single" w:color="CBD5E0" w:sz="4"/>
              <w:left w:val="single" w:color="CBD5E0" w:sz="4"/>
              <w:bottom w:val="single" w:color="CBD5E0" w:sz="4"/>
              <w:right w:val="single" w:color="CBD5E0" w:sz="4"/>
            </w:tcBorders>
            <w:shd w:fill="F8FAFC" w:val="clear"/>
            <w:tcMar>
              <w:top w:type="dxa" w:w="120"/>
              <w:left w:type="dxa" w:w="150"/>
              <w:bottom w:type="dxa" w:w="120"/>
              <w:right w:type="dxa" w:w="150"/>
            </w:tcMar>
          </w:tcPr>
          <w:p>
            <w:r>
              <w:rPr>
                <w:rFonts w:ascii="Arial" w:cs="Arial" w:eastAsia="Arial" w:hAnsi="Arial"/>
                <w:b w:val="false"/>
                <w:bCs w:val="false"/>
                <w:color w:val="2D3748"/>
                <w:sz w:val="19"/>
                <w:szCs w:val="19"/>
              </w:rPr>
              <w:t xml:space="preserve">Lonjakan &gt; 150 MB (Rawan Crash OOM)</w:t>
            </w:r>
          </w:p>
        </w:tc>
        <w:tc>
          <w:tcPr>
            <w:tcW w:type="pct" w:w="1750"/>
            <w:tcBorders>
              <w:top w:val="single" w:color="CBD5E0" w:sz="4"/>
              <w:left w:val="single" w:color="CBD5E0" w:sz="4"/>
              <w:bottom w:val="single" w:color="CBD5E0" w:sz="4"/>
              <w:right w:val="single" w:color="CBD5E0" w:sz="4"/>
            </w:tcBorders>
            <w:shd w:fill="F8FAFC" w:val="clear"/>
            <w:tcMar>
              <w:top w:type="dxa" w:w="120"/>
              <w:left w:type="dxa" w:w="150"/>
              <w:bottom w:type="dxa" w:w="120"/>
              <w:right w:type="dxa" w:w="150"/>
            </w:tcMar>
          </w:tcPr>
          <w:p>
            <w:r>
              <w:rPr>
                <w:rFonts w:ascii="Arial" w:cs="Arial" w:eastAsia="Arial" w:hAnsi="Arial"/>
                <w:b/>
                <w:bCs/>
                <w:color w:val="2D3748"/>
                <w:sz w:val="19"/>
                <w:szCs w:val="19"/>
              </w:rPr>
              <w:t xml:space="preserve">Konstan stabil di ~18 – 22 MB</w:t>
            </w:r>
          </w:p>
        </w:tc>
      </w:tr>
      <w:tr>
        <w:tc>
          <w:tcPr>
            <w:tcW w:type="pct" w:w="1500"/>
            <w:tcBorders>
              <w:top w:val="single" w:color="CBD5E0" w:sz="4"/>
              <w:left w:val="single" w:color="CBD5E0" w:sz="4"/>
              <w:bottom w:val="single" w:color="CBD5E0" w:sz="4"/>
              <w:right w:val="single" w:color="CBD5E0" w:sz="4"/>
            </w:tcBorders>
            <w:shd w:fill="FFFFFF" w:val="clear"/>
            <w:tcMar>
              <w:top w:type="dxa" w:w="120"/>
              <w:left w:type="dxa" w:w="150"/>
              <w:bottom w:type="dxa" w:w="120"/>
              <w:right w:type="dxa" w:w="150"/>
            </w:tcMar>
          </w:tcPr>
          <w:p>
            <w:r>
              <w:rPr>
                <w:rFonts w:ascii="Arial" w:cs="Arial" w:eastAsia="Arial" w:hAnsi="Arial"/>
                <w:b/>
                <w:bCs/>
                <w:color w:val="2D3748"/>
                <w:sz w:val="19"/>
                <w:szCs w:val="19"/>
              </w:rPr>
              <w:t xml:space="preserve">Latensi Buka Penawaran (/s/:token)</w:t>
            </w:r>
          </w:p>
        </w:tc>
        <w:tc>
          <w:tcPr>
            <w:tcW w:type="pct" w:w="1750"/>
            <w:tcBorders>
              <w:top w:val="single" w:color="CBD5E0" w:sz="4"/>
              <w:left w:val="single" w:color="CBD5E0" w:sz="4"/>
              <w:bottom w:val="single" w:color="CBD5E0" w:sz="4"/>
              <w:right w:val="single" w:color="CBD5E0" w:sz="4"/>
            </w:tcBorders>
            <w:shd w:fill="FFFFFF" w:val="clear"/>
            <w:tcMar>
              <w:top w:type="dxa" w:w="120"/>
              <w:left w:type="dxa" w:w="150"/>
              <w:bottom w:type="dxa" w:w="120"/>
              <w:right w:type="dxa" w:w="150"/>
            </w:tcMar>
          </w:tcPr>
          <w:p>
            <w:r>
              <w:rPr>
                <w:rFonts w:ascii="Arial" w:cs="Arial" w:eastAsia="Arial" w:hAnsi="Arial"/>
                <w:b w:val="false"/>
                <w:bCs w:val="false"/>
                <w:color w:val="2D3748"/>
                <w:sz w:val="19"/>
                <w:szCs w:val="19"/>
              </w:rPr>
              <w:t xml:space="preserve">300 – 1.500 ms (Direct DB query)</w:t>
            </w:r>
          </w:p>
        </w:tc>
        <w:tc>
          <w:tcPr>
            <w:tcW w:type="pct" w:w="1750"/>
            <w:tcBorders>
              <w:top w:val="single" w:color="CBD5E0" w:sz="4"/>
              <w:left w:val="single" w:color="CBD5E0" w:sz="4"/>
              <w:bottom w:val="single" w:color="CBD5E0" w:sz="4"/>
              <w:right w:val="single" w:color="CBD5E0" w:sz="4"/>
            </w:tcBorders>
            <w:shd w:fill="FFFFFF" w:val="clear"/>
            <w:tcMar>
              <w:top w:type="dxa" w:w="120"/>
              <w:left w:type="dxa" w:w="150"/>
              <w:bottom w:type="dxa" w:w="120"/>
              <w:right w:type="dxa" w:w="150"/>
            </w:tcMar>
          </w:tcPr>
          <w:p>
            <w:r>
              <w:rPr>
                <w:rFonts w:ascii="Arial" w:cs="Arial" w:eastAsia="Arial" w:hAnsi="Arial"/>
                <w:b/>
                <w:bCs/>
                <w:color w:val="2D3748"/>
                <w:sz w:val="19"/>
                <w:szCs w:val="19"/>
              </w:rPr>
              <w:t xml:space="preserve">&lt; 2 – 3 ms (Sub-millisecond lookup)</w:t>
            </w:r>
          </w:p>
        </w:tc>
      </w:tr>
      <w:tr>
        <w:tc>
          <w:tcPr>
            <w:tcW w:type="pct" w:w="1500"/>
            <w:tcBorders>
              <w:top w:val="single" w:color="CBD5E0" w:sz="4"/>
              <w:left w:val="single" w:color="CBD5E0" w:sz="4"/>
              <w:bottom w:val="single" w:color="CBD5E0" w:sz="4"/>
              <w:right w:val="single" w:color="CBD5E0" w:sz="4"/>
            </w:tcBorders>
            <w:shd w:fill="F8FAFC" w:val="clear"/>
            <w:tcMar>
              <w:top w:type="dxa" w:w="120"/>
              <w:left w:type="dxa" w:w="150"/>
              <w:bottom w:type="dxa" w:w="120"/>
              <w:right w:type="dxa" w:w="150"/>
            </w:tcMar>
          </w:tcPr>
          <w:p>
            <w:r>
              <w:rPr>
                <w:rFonts w:ascii="Arial" w:cs="Arial" w:eastAsia="Arial" w:hAnsi="Arial"/>
                <w:b/>
                <w:bCs/>
                <w:color w:val="2D3748"/>
                <w:sz w:val="19"/>
                <w:szCs w:val="19"/>
              </w:rPr>
              <w:t xml:space="preserve">Tingkat Keberhasilan Data</w:t>
            </w:r>
          </w:p>
        </w:tc>
        <w:tc>
          <w:tcPr>
            <w:tcW w:type="pct" w:w="1750"/>
            <w:tcBorders>
              <w:top w:val="single" w:color="CBD5E0" w:sz="4"/>
              <w:left w:val="single" w:color="CBD5E0" w:sz="4"/>
              <w:bottom w:val="single" w:color="CBD5E0" w:sz="4"/>
              <w:right w:val="single" w:color="CBD5E0" w:sz="4"/>
            </w:tcBorders>
            <w:shd w:fill="F8FAFC" w:val="clear"/>
            <w:tcMar>
              <w:top w:type="dxa" w:w="120"/>
              <w:left w:type="dxa" w:w="150"/>
              <w:bottom w:type="dxa" w:w="120"/>
              <w:right w:type="dxa" w:w="150"/>
            </w:tcMar>
          </w:tcPr>
          <w:p>
            <w:r>
              <w:rPr>
                <w:rFonts w:ascii="Arial" w:cs="Arial" w:eastAsia="Arial" w:hAnsi="Arial"/>
                <w:b w:val="false"/>
                <w:bCs w:val="false"/>
                <w:color w:val="2D3748"/>
                <w:sz w:val="19"/>
                <w:szCs w:val="19"/>
              </w:rPr>
              <w:t xml:space="preserve">Rawan timeout / partial loss</w:t>
            </w:r>
          </w:p>
        </w:tc>
        <w:tc>
          <w:tcPr>
            <w:tcW w:type="pct" w:w="1750"/>
            <w:tcBorders>
              <w:top w:val="single" w:color="CBD5E0" w:sz="4"/>
              <w:left w:val="single" w:color="CBD5E0" w:sz="4"/>
              <w:bottom w:val="single" w:color="CBD5E0" w:sz="4"/>
              <w:right w:val="single" w:color="CBD5E0" w:sz="4"/>
            </w:tcBorders>
            <w:shd w:fill="F8FAFC" w:val="clear"/>
            <w:tcMar>
              <w:top w:type="dxa" w:w="120"/>
              <w:left w:type="dxa" w:w="150"/>
              <w:bottom w:type="dxa" w:w="120"/>
              <w:right w:type="dxa" w:w="150"/>
            </w:tcMar>
          </w:tcPr>
          <w:p>
            <w:r>
              <w:rPr>
                <w:rFonts w:ascii="Arial" w:cs="Arial" w:eastAsia="Arial" w:hAnsi="Arial"/>
                <w:b/>
                <w:bCs/>
                <w:color w:val="2D3748"/>
                <w:sz w:val="19"/>
                <w:szCs w:val="19"/>
              </w:rPr>
              <w:t xml:space="preserve">100% Ingested (0 data failed)</w:t>
            </w:r>
          </w:p>
        </w:tc>
      </w:tr>
    </w:tbl>
    <w:p>
      <w:pPr>
        <w:spacing w:after="16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5000"/>
            <w:tcBorders>
              <w:top w:val="none"/>
              <w:left w:val="single" w:color="0066CC" w:sz="24"/>
              <w:bottom w:val="none"/>
              <w:right w:val="none"/>
            </w:tcBorders>
            <w:shd w:fill="F0FFF4" w:val="clear"/>
            <w:tcMar>
              <w:top w:type="dxa" w:w="160"/>
              <w:left w:type="dxa" w:w="200"/>
              <w:bottom w:type="dxa" w:w="160"/>
              <w:right w:type="dxa" w:w="200"/>
            </w:tcMar>
          </w:tcPr>
          <w:p>
            <w:pPr>
              <w:spacing w:after="100"/>
            </w:pPr>
            <w:r>
              <w:rPr>
                <w:rFonts w:ascii="Arial" w:cs="Arial" w:eastAsia="Arial" w:hAnsi="Arial"/>
                <w:b/>
                <w:bCs/>
                <w:color w:val="22543D"/>
                <w:sz w:val="22"/>
                <w:szCs w:val="22"/>
              </w:rPr>
              <w:t xml:space="preserve">💼 Dampak Nyata bagi Bisnis Perbankan (Business Impact):</w:t>
            </w:r>
          </w:p>
          <w:p>
            <w:r>
              <w:rPr>
                <w:rFonts w:ascii="Arial" w:cs="Arial" w:eastAsia="Arial" w:hAnsi="Arial"/>
                <w:color w:val="333333"/>
                <w:sz w:val="20"/>
                <w:szCs w:val="20"/>
              </w:rPr>
              <w:t xml:space="preserve">1. Perlindungan Total Terhadap Sistem Inti: Mencegah thundering herd problem secara absolut, sehingga Database Core Banking dan Data Lake BRI terbebas dari beban 15.000 concurrent connection saat WhatsApp Blast dikirimkan.
2. Peningkatan Conversion Rate Penawaran: Halaman penawaran suplesi terbuka secara instan (&lt; 3 ms) di peramban nasabah, mengeliminasi drop-off rate akibat halaman lambat, dan secara langsung mendongkrak konversi pencairan pinjaman Kupedes.
3. Skalabilitas Terbukti: Arsitektur terbukti mampu menangani skala hingga jutaan debitur hanya dengan menyesuaikan konfigurasi feeder tanpa perlu merombak ulang infrastruktur.</w:t>
            </w:r>
          </w:p>
        </w:tc>
      </w:tr>
    </w:tbl>
    <w:p>
      <w:pPr>
        <w:spacing w:after="300"/>
      </w:pPr>
    </w:p>
    <w:p>
      <w:pPr>
        <w:pStyle w:val="Heading1"/>
        <w:spacing w:after="140" w:before="200"/>
      </w:pPr>
      <w:r>
        <w:rPr>
          <w:b/>
          <w:bCs/>
          <w:color w:val="0A2540"/>
          <w:sz w:val="26"/>
          <w:szCs w:val="26"/>
        </w:rPr>
        <w:t xml:space="preserve">5. SIMULASI TANYA-JAWAB MENDALAM WAWANCARA (Follow-up Questions)</w:t>
      </w:r>
    </w:p>
    <w:p>
      <w:pPr>
        <w:spacing w:after="140"/>
      </w:pPr>
      <w:r>
        <w:t xml:space="preserve">Pertanyaan-pertanyaan teknis berikut adalah hal-hal yang hampir pasti ditanyakan oleh Tech Lead / Hiring Manager saat Anda menjelaskan arsitektur ini:</w:t>
      </w:r>
    </w:p>
    <w:p>
      <w:pPr>
        <w:spacing w:after="60"/>
      </w:pPr>
      <w:r>
        <w:rPr>
          <w:b/>
          <w:bCs/>
          <w:color w:val="0066CC"/>
          <w:sz w:val="21"/>
          <w:szCs w:val="21"/>
        </w:rPr>
        <w:t xml:space="preserve">Q1: "Mengapa Anda memilih gRPC Client Streaming daripada Message Broker seperti Apache Kafka atau RabbitMQ?"</w:t>
      </w:r>
    </w:p>
    <w:p>
      <w:pPr>
        <w:spacing w:after="140"/>
      </w:pPr>
      <w:r>
        <w:rPr>
          <w:b/>
          <w:bCs/>
        </w:rPr>
        <w:t xml:space="preserve">Jawaban Mantap: </w:t>
      </w:r>
      <w:r>
        <w:t xml:space="preserve">"Message broker seperti Kafka sangat ideal untuk pemrosesan asinkron antar layanan yang terdistribusi independen. Namun, untuk use-case data pre-warming ini, feeder membutuhkan konfirmasi sinkron secara langsung (end-of-stream summary response) mengenai berapa data yang sukses dan gagal ter-cache sebelum pesan WhatsApp blast dijadwalkan meluncur. Menggunakan gRPC Client Streaming memberikan respons point-to-point instan dengan overhead jaringan yang sangat rendah via HTTP/2, tanpa perlu menambah kompleksitas operasional memelihara cluster Kafka hanya untuk batch feeder pre-warming."</w:t>
      </w:r>
    </w:p>
    <w:p>
      <w:pPr>
        <w:spacing w:after="60"/>
      </w:pPr>
      <w:r>
        <w:rPr>
          <w:b/>
          <w:bCs/>
          <w:color w:val="0066CC"/>
          <w:sz w:val="21"/>
          <w:szCs w:val="21"/>
        </w:rPr>
        <w:t xml:space="preserve">Q2: "Bagaimana Anda menangani jika terjadi kegagalan parsial saat eksekusi Redis Pipeline?"</w:t>
      </w:r>
    </w:p>
    <w:p>
      <w:pPr>
        <w:spacing w:after="140"/>
      </w:pPr>
      <w:r>
        <w:rPr>
          <w:b/>
          <w:bCs/>
        </w:rPr>
        <w:t xml:space="preserve">Jawaban Mantap: </w:t>
      </w:r>
      <w:r>
        <w:t xml:space="preserve">"Pada implementasi repository (PipelineSaveBatch), saya menangani error handling secara detail. Jika pipe.Exec() mengembalikan galat koneksi jaringan, seluruh daftar NIK dalam chunk tersebut dikumpulkan ke dalam slice pipelineFailedNIKs dan dikembalikan ke service layer. Service mencatat failed count dan mengembalikan daftar NIK yang gagal ke response summary gRPC (failed_niks []string). Dengan cara ini, sistem feeder mengetahui secara presisi NIK mana saja yang gagal dan dapat melakukan retry otomatis untuk batch NIK yang gagal saja tanpa menduplikasi data yang sudah berhasil masuk."</w:t>
      </w:r>
    </w:p>
    <w:p>
      <w:pPr>
        <w:spacing w:after="60"/>
      </w:pPr>
      <w:r>
        <w:rPr>
          <w:b/>
          <w:bCs/>
          <w:color w:val="0066CC"/>
          <w:sz w:val="21"/>
          <w:szCs w:val="21"/>
        </w:rPr>
        <w:t xml:space="preserve">Q3: "Mengapa data penawaran disimpan sebagai Redis String (JSON raw bytes) bukan Redis Hash?"</w:t>
      </w:r>
    </w:p>
    <w:p>
      <w:pPr>
        <w:spacing w:after="140"/>
      </w:pPr>
      <w:r>
        <w:rPr>
          <w:b/>
          <w:bCs/>
        </w:rPr>
        <w:t xml:space="preserve">Jawaban Mantap: </w:t>
      </w:r>
      <w:r>
        <w:t xml:space="preserve">"Pada access pattern penawaran suplesi ini, saat debitur membuka link /s/:token, sistem SELALU membutuhkan seluruh data penawaran lengkap (nama, nomor rekening, sisa baki debet, plafon suplesi, dan pilihan tenor) untuk dirender pada halaman web. Menyimpan data sebagai Redis String (raw JSON bytes) memberikan efisiensi serialisasi maksimum di Golang dan pemanfaatan memori Redis yang lebih efisien karena tidak memiliki overhead hash field table. Pembacaannya bersifat O(1) single-key lookup tercepat yang mampu melayani 15.000 debitur serentak dalam &lt; 3 ms."</w:t>
      </w:r>
    </w:p>
    <w:p>
      <w:pPr>
        <w:spacing w:after="60"/>
      </w:pPr>
      <w:r>
        <w:rPr>
          <w:b/>
          <w:bCs/>
          <w:color w:val="0066CC"/>
          <w:sz w:val="21"/>
          <w:szCs w:val="21"/>
        </w:rPr>
        <w:t xml:space="preserve">Q4: "Bagaimana sistem menangani jika debitur membuka link setelah masa berlaku 48 jam berakhir?"</w:t>
      </w:r>
    </w:p>
    <w:p>
      <w:pPr>
        <w:spacing w:after="140"/>
      </w:pPr>
      <w:r>
        <w:rPr>
          <w:b/>
          <w:bCs/>
        </w:rPr>
        <w:t xml:space="preserve">Jawaban Mantap: </w:t>
      </w:r>
      <w:r>
        <w:t xml:space="preserve">"Karena key di Redis memiliki TTL 48 jam yang otomatis terhapus (evicted), ketika debitur mengakses /s/:token setelah 48 jam, Redis repository mengembalikan redis.Nil. HTTP OfferHandler menangkap error ini dan secara elegan mengembalikan response HTTP 404 dengan pesan ramah: 'Penawaran tidak ditemukan atau masa berlaku 48 jam telah berakhir'. Pendekatan ini sengaja tidak melakukan fallback query lambat ke database relasional arsip untuk menjaga integritas SLA bisnis bahwa penawaran suplesi pra-persetujuan memang memiliki batas waktu validitas yang ketat."</w:t>
      </w:r>
    </w:p>
    <w:p>
      <w:pPr>
        <w:spacing w:after="60"/>
      </w:pPr>
      <w:r>
        <w:rPr>
          <w:b/>
          <w:bCs/>
          <w:color w:val="0066CC"/>
          <w:sz w:val="21"/>
          <w:szCs w:val="21"/>
        </w:rPr>
        <w:t xml:space="preserve">Q5: "Bagaimana arsitektur ini mengatasi kendala CROSSSLOT pada Redis Cluster?"</w:t>
      </w:r>
    </w:p>
    <w:p>
      <w:pPr>
        <w:spacing w:after="200"/>
      </w:pPr>
      <w:r>
        <w:rPr>
          <w:b/>
          <w:bCs/>
        </w:rPr>
        <w:t xml:space="preserve">Jawaban Mantap: </w:t>
      </w:r>
      <w:r>
        <w:t xml:space="preserve">"Pada arsitektur Redis Cluster sharded, mengeksekusi multi-key command secara serentak akan gagal dengan galat CROSSSLOT jika kunci-kunci tersebut berada pada hash slot yang berbeda. Di proyek ini, saya menggunakan redis.UniversalClient dari pustaka go-redis/v9. Klien ini memiliki abstraksi ClusterPipeline cerdas yang memecah perintah pipeline secara internal dan memetakannya ke masing-masing master node berdasarkan hash slot kunci secara paralel, lalu menggabungkan hasilnya secara transparan bagi aplikasi."</w:t>
      </w:r>
    </w:p>
    <w:p>
      <w:pPr>
        <w:pStyle w:val="Heading1"/>
        <w:spacing w:after="140" w:before="200"/>
      </w:pPr>
      <w:r>
        <w:rPr>
          <w:b/>
          <w:bCs/>
          <w:color w:val="0A2540"/>
          <w:sz w:val="26"/>
          <w:szCs w:val="26"/>
        </w:rPr>
        <w:t xml:space="preserve">6. KAMUS ISTILAH &amp; KATA KUNCI TEKNIS (Vocabulary &amp; Buzzwords)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c>
          <w:tcPr>
            <w:tcW w:type="pct" w:w="1500"/>
            <w:tcBorders>
              <w:top w:val="single" w:color="CBD5E0" w:sz="4"/>
              <w:left w:val="single" w:color="CBD5E0" w:sz="4"/>
              <w:bottom w:val="single" w:color="CBD5E0" w:sz="4"/>
              <w:right w:val="single" w:color="CBD5E0" w:sz="4"/>
            </w:tcBorders>
            <w:shd w:fill="0A2540" w:val="clear"/>
            <w:tcMar>
              <w:top w:type="dxa" w:w="120"/>
              <w:left w:type="dxa" w:w="150"/>
              <w:bottom w:type="dxa" w:w="120"/>
              <w:right w:type="dxa" w:w="150"/>
            </w:tcMar>
          </w:tcPr>
          <w:p>
            <w:r>
              <w:rPr>
                <w:rFonts w:ascii="Arial" w:cs="Arial" w:eastAsia="Arial" w:hAnsi="Arial"/>
                <w:b/>
                <w:bCs/>
                <w:color w:val="FFFFFF"/>
                <w:sz w:val="20"/>
                <w:szCs w:val="20"/>
              </w:rPr>
              <w:t xml:space="preserve">Istilah Teknis / Perbankan</w:t>
            </w:r>
          </w:p>
        </w:tc>
        <w:tc>
          <w:tcPr>
            <w:tcW w:type="pct" w:w="3500"/>
            <w:tcBorders>
              <w:top w:val="single" w:color="CBD5E0" w:sz="4"/>
              <w:left w:val="single" w:color="CBD5E0" w:sz="4"/>
              <w:bottom w:val="single" w:color="CBD5E0" w:sz="4"/>
              <w:right w:val="single" w:color="CBD5E0" w:sz="4"/>
            </w:tcBorders>
            <w:shd w:fill="0A2540" w:val="clear"/>
            <w:tcMar>
              <w:top w:type="dxa" w:w="120"/>
              <w:left w:type="dxa" w:w="150"/>
              <w:bottom w:type="dxa" w:w="120"/>
              <w:right w:type="dxa" w:w="150"/>
            </w:tcMar>
          </w:tcPr>
          <w:p>
            <w:r>
              <w:rPr>
                <w:rFonts w:ascii="Arial" w:cs="Arial" w:eastAsia="Arial" w:hAnsi="Arial"/>
                <w:b/>
                <w:bCs/>
                <w:color w:val="FFFFFF"/>
                <w:sz w:val="20"/>
                <w:szCs w:val="20"/>
              </w:rPr>
              <w:t xml:space="preserve">Definisi &amp; Relevansi Wawancara</w:t>
            </w:r>
          </w:p>
        </w:tc>
      </w:tr>
      <w:tr>
        <w:tc>
          <w:tcPr>
            <w:tcW w:type="pct" w:w="1500"/>
            <w:tcBorders>
              <w:top w:val="single" w:color="CBD5E0" w:sz="4"/>
              <w:left w:val="single" w:color="CBD5E0" w:sz="4"/>
              <w:bottom w:val="single" w:color="CBD5E0" w:sz="4"/>
              <w:right w:val="single" w:color="CBD5E0" w:sz="4"/>
            </w:tcBorders>
            <w:shd w:fill="FFFFFF" w:val="clear"/>
            <w:tcMar>
              <w:top w:type="dxa" w:w="120"/>
              <w:left w:type="dxa" w:w="150"/>
              <w:bottom w:type="dxa" w:w="120"/>
              <w:right w:type="dxa" w:w="150"/>
            </w:tcMar>
          </w:tcPr>
          <w:p>
            <w:r>
              <w:rPr>
                <w:rFonts w:ascii="Arial" w:cs="Arial" w:eastAsia="Arial" w:hAnsi="Arial"/>
                <w:b/>
                <w:bCs/>
                <w:color w:val="2D3748"/>
                <w:sz w:val="19"/>
                <w:szCs w:val="19"/>
              </w:rPr>
              <w:t xml:space="preserve">Kupedes &amp; Suplesi</w:t>
            </w:r>
          </w:p>
        </w:tc>
        <w:tc>
          <w:tcPr>
            <w:tcW w:type="pct" w:w="3500"/>
            <w:tcBorders>
              <w:top w:val="single" w:color="CBD5E0" w:sz="4"/>
              <w:left w:val="single" w:color="CBD5E0" w:sz="4"/>
              <w:bottom w:val="single" w:color="CBD5E0" w:sz="4"/>
              <w:right w:val="single" w:color="CBD5E0" w:sz="4"/>
            </w:tcBorders>
            <w:shd w:fill="FFFFFF" w:val="clear"/>
            <w:tcMar>
              <w:top w:type="dxa" w:w="120"/>
              <w:left w:type="dxa" w:w="150"/>
              <w:bottom w:type="dxa" w:w="120"/>
              <w:right w:type="dxa" w:w="150"/>
            </w:tcMar>
          </w:tcPr>
          <w:p>
            <w:r>
              <w:rPr>
                <w:rFonts w:ascii="Arial" w:cs="Arial" w:eastAsia="Arial" w:hAnsi="Arial"/>
                <w:b w:val="false"/>
                <w:bCs w:val="false"/>
                <w:color w:val="2D3748"/>
                <w:sz w:val="19"/>
                <w:szCs w:val="19"/>
              </w:rPr>
              <w:t xml:space="preserve">Kredit Umum Pedesaan BRI. Suplesi adalah top-up pinjaman bagi debitur eksisting dengan track record lancar.</w:t>
            </w:r>
          </w:p>
        </w:tc>
      </w:tr>
      <w:tr>
        <w:tc>
          <w:tcPr>
            <w:tcW w:type="pct" w:w="1500"/>
            <w:tcBorders>
              <w:top w:val="single" w:color="CBD5E0" w:sz="4"/>
              <w:left w:val="single" w:color="CBD5E0" w:sz="4"/>
              <w:bottom w:val="single" w:color="CBD5E0" w:sz="4"/>
              <w:right w:val="single" w:color="CBD5E0" w:sz="4"/>
            </w:tcBorders>
            <w:shd w:fill="F8FAFC" w:val="clear"/>
            <w:tcMar>
              <w:top w:type="dxa" w:w="120"/>
              <w:left w:type="dxa" w:w="150"/>
              <w:bottom w:type="dxa" w:w="120"/>
              <w:right w:type="dxa" w:w="150"/>
            </w:tcMar>
          </w:tcPr>
          <w:p>
            <w:r>
              <w:rPr>
                <w:rFonts w:ascii="Arial" w:cs="Arial" w:eastAsia="Arial" w:hAnsi="Arial"/>
                <w:b/>
                <w:bCs/>
                <w:color w:val="2D3748"/>
                <w:sz w:val="19"/>
                <w:szCs w:val="19"/>
              </w:rPr>
              <w:t xml:space="preserve">Baki Debet</w:t>
            </w:r>
          </w:p>
        </w:tc>
        <w:tc>
          <w:tcPr>
            <w:tcW w:type="pct" w:w="3500"/>
            <w:tcBorders>
              <w:top w:val="single" w:color="CBD5E0" w:sz="4"/>
              <w:left w:val="single" w:color="CBD5E0" w:sz="4"/>
              <w:bottom w:val="single" w:color="CBD5E0" w:sz="4"/>
              <w:right w:val="single" w:color="CBD5E0" w:sz="4"/>
            </w:tcBorders>
            <w:shd w:fill="F8FAFC" w:val="clear"/>
            <w:tcMar>
              <w:top w:type="dxa" w:w="120"/>
              <w:left w:type="dxa" w:w="150"/>
              <w:bottom w:type="dxa" w:w="120"/>
              <w:right w:type="dxa" w:w="150"/>
            </w:tcMar>
          </w:tcPr>
          <w:p>
            <w:r>
              <w:rPr>
                <w:rFonts w:ascii="Arial" w:cs="Arial" w:eastAsia="Arial" w:hAnsi="Arial"/>
                <w:b w:val="false"/>
                <w:bCs w:val="false"/>
                <w:color w:val="2D3748"/>
                <w:sz w:val="19"/>
                <w:szCs w:val="19"/>
              </w:rPr>
              <w:t xml:space="preserve">Sisa pokok pinjaman yang masih wajib dilunasi oleh debitur pada saat tertentu.</w:t>
            </w:r>
          </w:p>
        </w:tc>
      </w:tr>
      <w:tr>
        <w:tc>
          <w:tcPr>
            <w:tcW w:type="pct" w:w="1500"/>
            <w:tcBorders>
              <w:top w:val="single" w:color="CBD5E0" w:sz="4"/>
              <w:left w:val="single" w:color="CBD5E0" w:sz="4"/>
              <w:bottom w:val="single" w:color="CBD5E0" w:sz="4"/>
              <w:right w:val="single" w:color="CBD5E0" w:sz="4"/>
            </w:tcBorders>
            <w:shd w:fill="FFFFFF" w:val="clear"/>
            <w:tcMar>
              <w:top w:type="dxa" w:w="120"/>
              <w:left w:type="dxa" w:w="150"/>
              <w:bottom w:type="dxa" w:w="120"/>
              <w:right w:type="dxa" w:w="150"/>
            </w:tcMar>
          </w:tcPr>
          <w:p>
            <w:r>
              <w:rPr>
                <w:rFonts w:ascii="Arial" w:cs="Arial" w:eastAsia="Arial" w:hAnsi="Arial"/>
                <w:b/>
                <w:bCs/>
                <w:color w:val="2D3748"/>
                <w:sz w:val="19"/>
                <w:szCs w:val="19"/>
              </w:rPr>
              <w:t xml:space="preserve">Thundering Herd Problem</w:t>
            </w:r>
          </w:p>
        </w:tc>
        <w:tc>
          <w:tcPr>
            <w:tcW w:type="pct" w:w="3500"/>
            <w:tcBorders>
              <w:top w:val="single" w:color="CBD5E0" w:sz="4"/>
              <w:left w:val="single" w:color="CBD5E0" w:sz="4"/>
              <w:bottom w:val="single" w:color="CBD5E0" w:sz="4"/>
              <w:right w:val="single" w:color="CBD5E0" w:sz="4"/>
            </w:tcBorders>
            <w:shd w:fill="FFFFFF" w:val="clear"/>
            <w:tcMar>
              <w:top w:type="dxa" w:w="120"/>
              <w:left w:type="dxa" w:w="150"/>
              <w:bottom w:type="dxa" w:w="120"/>
              <w:right w:type="dxa" w:w="150"/>
            </w:tcMar>
          </w:tcPr>
          <w:p>
            <w:r>
              <w:rPr>
                <w:rFonts w:ascii="Arial" w:cs="Arial" w:eastAsia="Arial" w:hAnsi="Arial"/>
                <w:b w:val="false"/>
                <w:bCs w:val="false"/>
                <w:color w:val="2D3748"/>
                <w:sz w:val="19"/>
                <w:szCs w:val="19"/>
              </w:rPr>
              <w:t xml:space="preserve">Kondisi di mana ribuan pengguna mengakses resource database secara serentak pasca event massal (WhatsApp blast).</w:t>
            </w:r>
          </w:p>
        </w:tc>
      </w:tr>
      <w:tr>
        <w:tc>
          <w:tcPr>
            <w:tcW w:type="pct" w:w="1500"/>
            <w:tcBorders>
              <w:top w:val="single" w:color="CBD5E0" w:sz="4"/>
              <w:left w:val="single" w:color="CBD5E0" w:sz="4"/>
              <w:bottom w:val="single" w:color="CBD5E0" w:sz="4"/>
              <w:right w:val="single" w:color="CBD5E0" w:sz="4"/>
            </w:tcBorders>
            <w:shd w:fill="F8FAFC" w:val="clear"/>
            <w:tcMar>
              <w:top w:type="dxa" w:w="120"/>
              <w:left w:type="dxa" w:w="150"/>
              <w:bottom w:type="dxa" w:w="120"/>
              <w:right w:type="dxa" w:w="150"/>
            </w:tcMar>
          </w:tcPr>
          <w:p>
            <w:r>
              <w:rPr>
                <w:rFonts w:ascii="Arial" w:cs="Arial" w:eastAsia="Arial" w:hAnsi="Arial"/>
                <w:b/>
                <w:bCs/>
                <w:color w:val="2D3748"/>
                <w:sz w:val="19"/>
                <w:szCs w:val="19"/>
              </w:rPr>
              <w:t xml:space="preserve">gRPC Client Streaming</w:t>
            </w:r>
          </w:p>
        </w:tc>
        <w:tc>
          <w:tcPr>
            <w:tcW w:type="pct" w:w="3500"/>
            <w:tcBorders>
              <w:top w:val="single" w:color="CBD5E0" w:sz="4"/>
              <w:left w:val="single" w:color="CBD5E0" w:sz="4"/>
              <w:bottom w:val="single" w:color="CBD5E0" w:sz="4"/>
              <w:right w:val="single" w:color="CBD5E0" w:sz="4"/>
            </w:tcBorders>
            <w:shd w:fill="F8FAFC" w:val="clear"/>
            <w:tcMar>
              <w:top w:type="dxa" w:w="120"/>
              <w:left w:type="dxa" w:w="150"/>
              <w:bottom w:type="dxa" w:w="120"/>
              <w:right w:type="dxa" w:w="150"/>
            </w:tcMar>
          </w:tcPr>
          <w:p>
            <w:r>
              <w:rPr>
                <w:rFonts w:ascii="Arial" w:cs="Arial" w:eastAsia="Arial" w:hAnsi="Arial"/>
                <w:b w:val="false"/>
                <w:bCs w:val="false"/>
                <w:color w:val="2D3748"/>
                <w:sz w:val="19"/>
                <w:szCs w:val="19"/>
              </w:rPr>
              <w:t xml:space="preserve">Pola RPC di mana client mengirimkan aliran pesan berkelanjutan (stream of chunks) dan menerima 1 ringkasan respons di akhir.</w:t>
            </w:r>
          </w:p>
        </w:tc>
      </w:tr>
      <w:tr>
        <w:tc>
          <w:tcPr>
            <w:tcW w:type="pct" w:w="1500"/>
            <w:tcBorders>
              <w:top w:val="single" w:color="CBD5E0" w:sz="4"/>
              <w:left w:val="single" w:color="CBD5E0" w:sz="4"/>
              <w:bottom w:val="single" w:color="CBD5E0" w:sz="4"/>
              <w:right w:val="single" w:color="CBD5E0" w:sz="4"/>
            </w:tcBorders>
            <w:shd w:fill="FFFFFF" w:val="clear"/>
            <w:tcMar>
              <w:top w:type="dxa" w:w="120"/>
              <w:left w:type="dxa" w:w="150"/>
              <w:bottom w:type="dxa" w:w="120"/>
              <w:right w:type="dxa" w:w="150"/>
            </w:tcMar>
          </w:tcPr>
          <w:p>
            <w:r>
              <w:rPr>
                <w:rFonts w:ascii="Arial" w:cs="Arial" w:eastAsia="Arial" w:hAnsi="Arial"/>
                <w:b/>
                <w:bCs/>
                <w:color w:val="2D3748"/>
                <w:sz w:val="19"/>
                <w:szCs w:val="19"/>
              </w:rPr>
              <w:t xml:space="preserve">HTTP/2 Multiplexing</w:t>
            </w:r>
          </w:p>
        </w:tc>
        <w:tc>
          <w:tcPr>
            <w:tcW w:type="pct" w:w="3500"/>
            <w:tcBorders>
              <w:top w:val="single" w:color="CBD5E0" w:sz="4"/>
              <w:left w:val="single" w:color="CBD5E0" w:sz="4"/>
              <w:bottom w:val="single" w:color="CBD5E0" w:sz="4"/>
              <w:right w:val="single" w:color="CBD5E0" w:sz="4"/>
            </w:tcBorders>
            <w:shd w:fill="FFFFFF" w:val="clear"/>
            <w:tcMar>
              <w:top w:type="dxa" w:w="120"/>
              <w:left w:type="dxa" w:w="150"/>
              <w:bottom w:type="dxa" w:w="120"/>
              <w:right w:type="dxa" w:w="150"/>
            </w:tcMar>
          </w:tcPr>
          <w:p>
            <w:r>
              <w:rPr>
                <w:rFonts w:ascii="Arial" w:cs="Arial" w:eastAsia="Arial" w:hAnsi="Arial"/>
                <w:b w:val="false"/>
                <w:bCs w:val="false"/>
                <w:color w:val="2D3748"/>
                <w:sz w:val="19"/>
                <w:szCs w:val="19"/>
              </w:rPr>
              <w:t xml:space="preserve">Kemampuan mengirim banyak request/stream secara paralel dalam satu koneksi TCP tunggal tanpa connection overhead.</w:t>
            </w:r>
          </w:p>
        </w:tc>
      </w:tr>
      <w:tr>
        <w:tc>
          <w:tcPr>
            <w:tcW w:type="pct" w:w="1500"/>
            <w:tcBorders>
              <w:top w:val="single" w:color="CBD5E0" w:sz="4"/>
              <w:left w:val="single" w:color="CBD5E0" w:sz="4"/>
              <w:bottom w:val="single" w:color="CBD5E0" w:sz="4"/>
              <w:right w:val="single" w:color="CBD5E0" w:sz="4"/>
            </w:tcBorders>
            <w:shd w:fill="F8FAFC" w:val="clear"/>
            <w:tcMar>
              <w:top w:type="dxa" w:w="120"/>
              <w:left w:type="dxa" w:w="150"/>
              <w:bottom w:type="dxa" w:w="120"/>
              <w:right w:type="dxa" w:w="150"/>
            </w:tcMar>
          </w:tcPr>
          <w:p>
            <w:r>
              <w:rPr>
                <w:rFonts w:ascii="Arial" w:cs="Arial" w:eastAsia="Arial" w:hAnsi="Arial"/>
                <w:b/>
                <w:bCs/>
                <w:color w:val="2D3748"/>
                <w:sz w:val="19"/>
                <w:szCs w:val="19"/>
              </w:rPr>
              <w:t xml:space="preserve">Redis Pipelining</w:t>
            </w:r>
          </w:p>
        </w:tc>
        <w:tc>
          <w:tcPr>
            <w:tcW w:type="pct" w:w="3500"/>
            <w:tcBorders>
              <w:top w:val="single" w:color="CBD5E0" w:sz="4"/>
              <w:left w:val="single" w:color="CBD5E0" w:sz="4"/>
              <w:bottom w:val="single" w:color="CBD5E0" w:sz="4"/>
              <w:right w:val="single" w:color="CBD5E0" w:sz="4"/>
            </w:tcBorders>
            <w:shd w:fill="F8FAFC" w:val="clear"/>
            <w:tcMar>
              <w:top w:type="dxa" w:w="120"/>
              <w:left w:type="dxa" w:w="150"/>
              <w:bottom w:type="dxa" w:w="120"/>
              <w:right w:type="dxa" w:w="150"/>
            </w:tcMar>
          </w:tcPr>
          <w:p>
            <w:r>
              <w:rPr>
                <w:rFonts w:ascii="Arial" w:cs="Arial" w:eastAsia="Arial" w:hAnsi="Arial"/>
                <w:b w:val="false"/>
                <w:bCs w:val="false"/>
                <w:color w:val="2D3748"/>
                <w:sz w:val="19"/>
                <w:szCs w:val="19"/>
              </w:rPr>
              <w:t xml:space="preserve">Teknik mengeksekusi banyak command Redis dalam 1 network round-trip tanpa menunggu balasan per command.</w:t>
            </w:r>
          </w:p>
        </w:tc>
      </w:tr>
      <w:tr>
        <w:tc>
          <w:tcPr>
            <w:tcW w:type="pct" w:w="1500"/>
            <w:tcBorders>
              <w:top w:val="single" w:color="CBD5E0" w:sz="4"/>
              <w:left w:val="single" w:color="CBD5E0" w:sz="4"/>
              <w:bottom w:val="single" w:color="CBD5E0" w:sz="4"/>
              <w:right w:val="single" w:color="CBD5E0" w:sz="4"/>
            </w:tcBorders>
            <w:shd w:fill="FFFFFF" w:val="clear"/>
            <w:tcMar>
              <w:top w:type="dxa" w:w="120"/>
              <w:left w:type="dxa" w:w="150"/>
              <w:bottom w:type="dxa" w:w="120"/>
              <w:right w:type="dxa" w:w="150"/>
            </w:tcMar>
          </w:tcPr>
          <w:p>
            <w:r>
              <w:rPr>
                <w:rFonts w:ascii="Arial" w:cs="Arial" w:eastAsia="Arial" w:hAnsi="Arial"/>
                <w:b/>
                <w:bCs/>
                <w:color w:val="2D3748"/>
                <w:sz w:val="19"/>
                <w:szCs w:val="19"/>
              </w:rPr>
              <w:t xml:space="preserve">UniversalClient</w:t>
            </w:r>
          </w:p>
        </w:tc>
        <w:tc>
          <w:tcPr>
            <w:tcW w:type="pct" w:w="3500"/>
            <w:tcBorders>
              <w:top w:val="single" w:color="CBD5E0" w:sz="4"/>
              <w:left w:val="single" w:color="CBD5E0" w:sz="4"/>
              <w:bottom w:val="single" w:color="CBD5E0" w:sz="4"/>
              <w:right w:val="single" w:color="CBD5E0" w:sz="4"/>
            </w:tcBorders>
            <w:shd w:fill="FFFFFF" w:val="clear"/>
            <w:tcMar>
              <w:top w:type="dxa" w:w="120"/>
              <w:left w:type="dxa" w:w="150"/>
              <w:bottom w:type="dxa" w:w="120"/>
              <w:right w:type="dxa" w:w="150"/>
            </w:tcMar>
          </w:tcPr>
          <w:p>
            <w:r>
              <w:rPr>
                <w:rFonts w:ascii="Arial" w:cs="Arial" w:eastAsia="Arial" w:hAnsi="Arial"/>
                <w:b w:val="false"/>
                <w:bCs w:val="false"/>
                <w:color w:val="2D3748"/>
                <w:sz w:val="19"/>
                <w:szCs w:val="19"/>
              </w:rPr>
              <w:t xml:space="preserve">Abstraksi klien go-redis yang mendukung Standalone, Sentinel, maupun Redis Cluster secara transparan.</w:t>
            </w:r>
          </w:p>
        </w:tc>
      </w:tr>
      <w:tr>
        <w:tc>
          <w:tcPr>
            <w:tcW w:type="pct" w:w="1500"/>
            <w:tcBorders>
              <w:top w:val="single" w:color="CBD5E0" w:sz="4"/>
              <w:left w:val="single" w:color="CBD5E0" w:sz="4"/>
              <w:bottom w:val="single" w:color="CBD5E0" w:sz="4"/>
              <w:right w:val="single" w:color="CBD5E0" w:sz="4"/>
            </w:tcBorders>
            <w:shd w:fill="F8FAFC" w:val="clear"/>
            <w:tcMar>
              <w:top w:type="dxa" w:w="120"/>
              <w:left w:type="dxa" w:w="150"/>
              <w:bottom w:type="dxa" w:w="120"/>
              <w:right w:type="dxa" w:w="150"/>
            </w:tcMar>
          </w:tcPr>
          <w:p>
            <w:r>
              <w:rPr>
                <w:rFonts w:ascii="Arial" w:cs="Arial" w:eastAsia="Arial" w:hAnsi="Arial"/>
                <w:b/>
                <w:bCs/>
                <w:color w:val="2D3748"/>
                <w:sz w:val="19"/>
                <w:szCs w:val="19"/>
              </w:rPr>
              <w:t xml:space="preserve">Bounded Channel</w:t>
            </w:r>
          </w:p>
        </w:tc>
        <w:tc>
          <w:tcPr>
            <w:tcW w:type="pct" w:w="3500"/>
            <w:tcBorders>
              <w:top w:val="single" w:color="CBD5E0" w:sz="4"/>
              <w:left w:val="single" w:color="CBD5E0" w:sz="4"/>
              <w:bottom w:val="single" w:color="CBD5E0" w:sz="4"/>
              <w:right w:val="single" w:color="CBD5E0" w:sz="4"/>
            </w:tcBorders>
            <w:shd w:fill="F8FAFC" w:val="clear"/>
            <w:tcMar>
              <w:top w:type="dxa" w:w="120"/>
              <w:left w:type="dxa" w:w="150"/>
              <w:bottom w:type="dxa" w:w="120"/>
              <w:right w:type="dxa" w:w="150"/>
            </w:tcMar>
          </w:tcPr>
          <w:p>
            <w:r>
              <w:rPr>
                <w:rFonts w:ascii="Arial" w:cs="Arial" w:eastAsia="Arial" w:hAnsi="Arial"/>
                <w:b w:val="false"/>
                <w:bCs w:val="false"/>
                <w:color w:val="2D3748"/>
                <w:sz w:val="19"/>
                <w:szCs w:val="19"/>
              </w:rPr>
              <w:t xml:space="preserve">Channel Go dengan kapasitas tetap yang bertindak sebagai backpressure, membatasi alokasi objek pada memori heap.</w:t>
            </w:r>
          </w:p>
        </w:tc>
      </w:tr>
      <w:tr>
        <w:tc>
          <w:tcPr>
            <w:tcW w:type="pct" w:w="1500"/>
            <w:tcBorders>
              <w:top w:val="single" w:color="CBD5E0" w:sz="4"/>
              <w:left w:val="single" w:color="CBD5E0" w:sz="4"/>
              <w:bottom w:val="single" w:color="CBD5E0" w:sz="4"/>
              <w:right w:val="single" w:color="CBD5E0" w:sz="4"/>
            </w:tcBorders>
            <w:shd w:fill="FFFFFF" w:val="clear"/>
            <w:tcMar>
              <w:top w:type="dxa" w:w="120"/>
              <w:left w:type="dxa" w:w="150"/>
              <w:bottom w:type="dxa" w:w="120"/>
              <w:right w:type="dxa" w:w="150"/>
            </w:tcMar>
          </w:tcPr>
          <w:p>
            <w:r>
              <w:rPr>
                <w:rFonts w:ascii="Arial" w:cs="Arial" w:eastAsia="Arial" w:hAnsi="Arial"/>
                <w:b/>
                <w:bCs/>
                <w:color w:val="2D3748"/>
                <w:sz w:val="19"/>
                <w:szCs w:val="19"/>
              </w:rPr>
              <w:t xml:space="preserve">IDOR Prevention</w:t>
            </w:r>
          </w:p>
        </w:tc>
        <w:tc>
          <w:tcPr>
            <w:tcW w:type="pct" w:w="3500"/>
            <w:tcBorders>
              <w:top w:val="single" w:color="CBD5E0" w:sz="4"/>
              <w:left w:val="single" w:color="CBD5E0" w:sz="4"/>
              <w:bottom w:val="single" w:color="CBD5E0" w:sz="4"/>
              <w:right w:val="single" w:color="CBD5E0" w:sz="4"/>
            </w:tcBorders>
            <w:shd w:fill="FFFFFF" w:val="clear"/>
            <w:tcMar>
              <w:top w:type="dxa" w:w="120"/>
              <w:left w:type="dxa" w:w="150"/>
              <w:bottom w:type="dxa" w:w="120"/>
              <w:right w:type="dxa" w:w="150"/>
            </w:tcMar>
          </w:tcPr>
          <w:p>
            <w:r>
              <w:rPr>
                <w:rFonts w:ascii="Arial" w:cs="Arial" w:eastAsia="Arial" w:hAnsi="Arial"/>
                <w:b w:val="false"/>
                <w:bCs w:val="false"/>
                <w:color w:val="2D3748"/>
                <w:sz w:val="19"/>
                <w:szCs w:val="19"/>
              </w:rPr>
              <w:t xml:space="preserve">Pencegahan Insecure Direct Object References menggunakan token acak 128-bit URL-safe yang tidak dapat ditebak nasabah.</w:t>
            </w:r>
          </w:p>
        </w:tc>
      </w:tr>
    </w:tbl>
    <w:p>
      <w:pPr>
        <w:spacing w:after="2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pct" w:w="5000"/>
            <w:tcBorders>
              <w:top w:val="none"/>
              <w:left w:val="single" w:color="0066CC" w:sz="24"/>
              <w:bottom w:val="none"/>
              <w:right w:val="none"/>
            </w:tcBorders>
            <w:shd w:fill="FEFCBF" w:val="clear"/>
            <w:tcMar>
              <w:top w:type="dxa" w:w="160"/>
              <w:left w:type="dxa" w:w="200"/>
              <w:bottom w:type="dxa" w:w="160"/>
              <w:right w:type="dxa" w:w="200"/>
            </w:tcMar>
          </w:tcPr>
          <w:p>
            <w:pPr>
              <w:spacing w:after="100"/>
            </w:pPr>
            <w:r>
              <w:rPr>
                <w:rFonts w:ascii="Arial" w:cs="Arial" w:eastAsia="Arial" w:hAnsi="Arial"/>
                <w:b/>
                <w:bCs/>
                <w:color w:val="744210"/>
                <w:sz w:val="22"/>
                <w:szCs w:val="22"/>
              </w:rPr>
              <w:t xml:space="preserve">💡 Tips Praktis Menyampaikan Cerita STAR saat Wawancara:</w:t>
            </w:r>
          </w:p>
          <w:p>
            <w:r>
              <w:rPr>
                <w:rFonts w:ascii="Arial" w:cs="Arial" w:eastAsia="Arial" w:hAnsi="Arial"/>
                <w:color w:val="333333"/>
                <w:sz w:val="20"/>
                <w:szCs w:val="20"/>
              </w:rPr>
              <w:t xml:space="preserve">1. Pembagian Waktu Ideal: Habiskan 15% waktu untuk Situation, 15% untuk Task, 50% untuk Action (fokus pada arsitektur &amp; trade-off teknis), dan 20% untuk Result (tekankan angka metrik kuantitatif).
2. Tunjukkan Kepemilikan (Ownership): Selalu gunakan kata 'Saya merancang...', 'Saya memilih...', 'Saya menguji...' daripada kalimat pasif.
3. Jangan Ragu Menyebutkan Trade-off: Ceritakan mengapa Anda memilih gRPC dibanding REST payload besar, dan mengapa memilih Redis String dibanding Redis Hash. Ini membuktikan kedalaman pemahaman sistem Anda.</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Halaman </w:t>
    </w:r>
    <w:r>
      <w:rPr>
        <w:rFonts w:ascii="Arial" w:cs="Arial" w:eastAsia="Arial" w:hAnsi="Arial"/>
        <w:color w:val="718096"/>
        <w:sz w:val="18"/>
        <w:szCs w:val="18"/>
      </w:rPr>
      <w:fldChar w:fldCharType="begin"/>
    </w:r>
    <w:r>
      <w:rPr>
        <w:rFonts w:ascii="Arial" w:cs="Arial" w:eastAsia="Arial" w:hAnsi="Arial"/>
        <w:color w:val="718096"/>
        <w:sz w:val="18"/>
        <w:szCs w:val="18"/>
      </w:rPr>
      <w:instrText xml:space="preserve">PAGE</w:instrText>
    </w:r>
    <w:r>
      <w:rPr>
        <w:rFonts w:ascii="Arial" w:cs="Arial" w:eastAsia="Arial" w:hAnsi="Arial"/>
        <w:color w:val="718096"/>
        <w:sz w:val="18"/>
        <w:szCs w:val="18"/>
      </w:rPr>
      <w:fldChar w:fldCharType="separate"/>
    </w:r>
    <w:r>
      <w:rPr>
        <w:rFonts w:ascii="Arial" w:cs="Arial" w:eastAsia="Arial" w:hAnsi="Arial"/>
        <w:color w:val="718096"/>
        <w:sz w:val="18"/>
        <w:szCs w:val="18"/>
      </w:rPr>
      <w:fldChar w:fldCharType="end"/>
    </w:r>
    <w:r>
      <w:rPr>
        <w:rFonts w:ascii="Arial" w:cs="Arial" w:eastAsia="Arial" w:hAnsi="Arial"/>
        <w:color w:val="718096"/>
        <w:sz w:val="18"/>
        <w:szCs w:val="18"/>
      </w:rPr>
      <w:t xml:space="preserve"> dari </w:t>
    </w:r>
    <w:r>
      <w:rPr>
        <w:rFonts w:ascii="Arial" w:cs="Arial" w:eastAsia="Arial" w:hAnsi="Arial"/>
        <w:color w:val="718096"/>
        <w:sz w:val="18"/>
        <w:szCs w:val="18"/>
      </w:rPr>
      <w:fldChar w:fldCharType="begin"/>
    </w:r>
    <w:r>
      <w:rPr>
        <w:rFonts w:ascii="Arial" w:cs="Arial" w:eastAsia="Arial" w:hAnsi="Arial"/>
        <w:color w:val="718096"/>
        <w:sz w:val="18"/>
        <w:szCs w:val="18"/>
      </w:rPr>
      <w:instrText xml:space="preserve">NUMPAGES</w:instrText>
    </w:r>
    <w:r>
      <w:rPr>
        <w:rFonts w:ascii="Arial" w:cs="Arial" w:eastAsia="Arial" w:hAnsi="Arial"/>
        <w:color w:val="718096"/>
        <w:sz w:val="18"/>
        <w:szCs w:val="18"/>
      </w:rPr>
      <w:fldChar w:fldCharType="separate"/>
    </w:r>
    <w:r>
      <w:rPr>
        <w:rFonts w:ascii="Arial" w:cs="Arial" w:eastAsia="Arial" w:hAnsi="Arial"/>
        <w:color w:val="718096"/>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18096"/>
        <w:sz w:val="16"/>
        <w:szCs w:val="16"/>
      </w:rPr>
      <w:t xml:space="preserve">Persiapan Wawancara Kerja: Metode STAR | Keceku Suplesi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pPr>
        <w:spacing w:after="14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2026-10-24T09:27:22.780Z</dcterms:created>
  <dcterms:modified xsi:type="dcterms:W3CDTF">2026-10-24T09:27:22.780Z</dcterms:modified>
</cp:coreProperties>
</file>

<file path=docProps/custom.xml><?xml version="1.0" encoding="utf-8"?>
<Properties xmlns="http://schemas.openxmlformats.org/officeDocument/2006/custom-properties" xmlns:vt="http://schemas.openxmlformats.org/officeDocument/2006/docPropsVTypes"/>
</file>