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t>Speech-Serving Engine: Median Benchmark Results</w:t>
      </w:r>
    </w:p>
    <w:p>
      <w:pPr>
        <w:spacing w:after="140"/>
      </w:pPr>
      <w:r>
        <w:rPr>
          <w:rFonts w:ascii="Arial" w:hAnsi="Arial"/>
          <w:color w:val="5B6773"/>
          <w:sz w:val="18"/>
        </w:rPr>
        <w:t>Median across 3 runs per metric  |  All rows marked VALID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43"/>
        <w:gridCol w:w="1843"/>
        <w:gridCol w:w="1843"/>
        <w:gridCol w:w="1843"/>
        <w:gridCol w:w="1843"/>
        <w:gridCol w:w="1843"/>
        <w:gridCol w:w="1843"/>
        <w:gridCol w:w="1843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163A5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163A5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Sequential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163A5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Static</w:t>
              <w:br/>
              <w:t>batching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163A5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Static</w:t>
              <w:br/>
              <w:t>graph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163A5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Hybrid</w:t>
              <w:br/>
              <w:t>before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163A5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Hybrid</w:t>
              <w:br/>
              <w:t>cross-KV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163A5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Hybrid</w:t>
              <w:br/>
              <w:t>after</w:t>
            </w:r>
          </w:p>
        </w:tc>
        <w:tc>
          <w:tcPr>
            <w:tcW w:type="dxa" w:w="2232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163A5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Hybrid</w:t>
              <w:br/>
              <w:t>encoder-opt</w:t>
            </w:r>
          </w:p>
        </w:tc>
      </w:tr>
      <w:tr>
        <w:trPr>
          <w:cantSplit/>
        </w:trPr>
        <w:tc>
          <w:tcPr>
            <w:tcW w:type="dxa" w:w="14572"/>
            <w:gridSpan w:val="8"/>
            <w:vAlign w:val="center"/>
            <w:tcMar>
              <w:top w:w="65" w:type="dxa"/>
              <w:start w:w="95" w:type="dxa"/>
              <w:bottom w:w="65" w:type="dxa"/>
              <w:end w:w="50" w:type="dxa"/>
            </w:tcMar>
            <w:shd w:fill="DCE8F3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63A5F"/>
                <w:sz w:val="16"/>
              </w:rPr>
              <w:t>BURST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F3F6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28303A"/>
                <w:sz w:val="14"/>
              </w:rPr>
              <w:t>Capacity (req/s)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F3F6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4.300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F3F6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8.854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F3F6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17.519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F3F6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4.083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F3F6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4.750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F3F6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11.008</w:t>
            </w:r>
          </w:p>
        </w:tc>
        <w:tc>
          <w:tcPr>
            <w:tcW w:type="dxa" w:w="2232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F3F6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19.640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28303A"/>
                <w:sz w:val="14"/>
              </w:rPr>
              <w:t>Audio throughput (x)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37.914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78.067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154.461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35.997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41.882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97.051</w:t>
            </w:r>
          </w:p>
        </w:tc>
        <w:tc>
          <w:tcPr>
            <w:tcW w:type="dxa" w:w="2232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173.158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28303A"/>
                <w:sz w:val="14"/>
              </w:rPr>
              <w:t>Wall (s)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23.255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11.294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5.708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24.493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21.052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9.085</w:t>
            </w:r>
          </w:p>
        </w:tc>
        <w:tc>
          <w:tcPr>
            <w:tcW w:type="dxa" w:w="2232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5.092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28303A"/>
                <w:sz w:val="14"/>
              </w:rPr>
              <w:t>TTFT p50 (s)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11.539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5.589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3.296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11.963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10.457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4.547</w:t>
            </w:r>
          </w:p>
        </w:tc>
        <w:tc>
          <w:tcPr>
            <w:tcW w:type="dxa" w:w="2232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2.590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28303A"/>
                <w:sz w:val="14"/>
              </w:rPr>
              <w:t>TTFT p95 (s)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22.239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10.678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5.446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22.950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19.797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8.591</w:t>
            </w:r>
          </w:p>
        </w:tc>
        <w:tc>
          <w:tcPr>
            <w:tcW w:type="dxa" w:w="2232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4.790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28303A"/>
                <w:sz w:val="14"/>
              </w:rPr>
              <w:t>Latency p50 (s)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11.802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5.974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3.423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12.809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11.191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4.792</w:t>
            </w:r>
          </w:p>
        </w:tc>
        <w:tc>
          <w:tcPr>
            <w:tcW w:type="dxa" w:w="2232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2.728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28303A"/>
                <w:sz w:val="14"/>
              </w:rPr>
              <w:t>Latency p95 (s)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22.288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10.884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5.521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23.507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20.258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8.846</w:t>
            </w:r>
          </w:p>
        </w:tc>
        <w:tc>
          <w:tcPr>
            <w:tcW w:type="dxa" w:w="2232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4.913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F3F6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28303A"/>
                <w:sz w:val="14"/>
              </w:rPr>
              <w:t>Peak VRAM (MB)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F3F6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286.96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F3F6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385.49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F3F6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592.08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F3F6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1842.81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F3F6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1842.81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F3F6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1870.31</w:t>
            </w:r>
          </w:p>
        </w:tc>
        <w:tc>
          <w:tcPr>
            <w:tcW w:type="dxa" w:w="2232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F3F6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732.89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28303A"/>
                <w:sz w:val="14"/>
              </w:rPr>
              <w:t>WER (%)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5.282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5.282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5.282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5.282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5.282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5.282</w:t>
            </w:r>
          </w:p>
        </w:tc>
        <w:tc>
          <w:tcPr>
            <w:tcW w:type="dxa" w:w="2232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5.282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28303A"/>
                <w:sz w:val="14"/>
              </w:rPr>
              <w:t>Exact match (%)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100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100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100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99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99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99</w:t>
            </w:r>
          </w:p>
        </w:tc>
        <w:tc>
          <w:tcPr>
            <w:tcW w:type="dxa" w:w="2232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99</w:t>
            </w:r>
          </w:p>
        </w:tc>
      </w:tr>
      <w:tr>
        <w:trPr>
          <w:cantSplit/>
        </w:trPr>
        <w:tc>
          <w:tcPr>
            <w:tcW w:type="dxa" w:w="14572"/>
            <w:gridSpan w:val="8"/>
            <w:vAlign w:val="center"/>
            <w:tcMar>
              <w:top w:w="65" w:type="dxa"/>
              <w:start w:w="95" w:type="dxa"/>
              <w:bottom w:w="65" w:type="dxa"/>
              <w:end w:w="50" w:type="dxa"/>
            </w:tcMar>
            <w:shd w:fill="DCE8F3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163A5F"/>
                <w:sz w:val="16"/>
              </w:rPr>
              <w:t>POISSON HIGH (λ = 4.0)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F3F6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28303A"/>
                <w:sz w:val="14"/>
              </w:rPr>
              <w:t>Capacity (req/s)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F3F6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4.087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F3F6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4.294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F3F6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4.364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F3F6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3.961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F3F6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4.205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F3F6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4.347</w:t>
            </w:r>
          </w:p>
        </w:tc>
        <w:tc>
          <w:tcPr>
            <w:tcW w:type="dxa" w:w="2232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F3F6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4.369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28303A"/>
                <w:sz w:val="14"/>
              </w:rPr>
              <w:t>Audio throughput (x)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36.038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37.857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38.477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34.927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37.077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38.327</w:t>
            </w:r>
          </w:p>
        </w:tc>
        <w:tc>
          <w:tcPr>
            <w:tcW w:type="dxa" w:w="2232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38.525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28303A"/>
                <w:sz w:val="14"/>
              </w:rPr>
              <w:t>Wall (s)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24.465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23.290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22.914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25.243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23.780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23.004</w:t>
            </w:r>
          </w:p>
        </w:tc>
        <w:tc>
          <w:tcPr>
            <w:tcW w:type="dxa" w:w="2232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22.886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28303A"/>
                <w:sz w:val="14"/>
              </w:rPr>
              <w:t>TTFT p50 (s)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1.092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0.163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0.037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1.136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0.416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0.078</w:t>
            </w:r>
          </w:p>
        </w:tc>
        <w:tc>
          <w:tcPr>
            <w:tcW w:type="dxa" w:w="2232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0.032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28303A"/>
                <w:sz w:val="14"/>
              </w:rPr>
              <w:t>TTFT p95 (s)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1.979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0.429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0.157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2.122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1.261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0.164</w:t>
            </w:r>
          </w:p>
        </w:tc>
        <w:tc>
          <w:tcPr>
            <w:tcW w:type="dxa" w:w="2232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0.052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28303A"/>
                <w:sz w:val="14"/>
              </w:rPr>
              <w:t>Latency p50 (s)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1.309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0.510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0.131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2.009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1.071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0.221</w:t>
            </w:r>
          </w:p>
        </w:tc>
        <w:tc>
          <w:tcPr>
            <w:tcW w:type="dxa" w:w="2232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0.124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28303A"/>
                <w:sz w:val="14"/>
              </w:rPr>
              <w:t>Latency p95 (s)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2.191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0.795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0.244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3.177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2.219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0.426</w:t>
            </w:r>
          </w:p>
        </w:tc>
        <w:tc>
          <w:tcPr>
            <w:tcW w:type="dxa" w:w="2232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0.226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F3F6F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28303A"/>
                <w:sz w:val="14"/>
              </w:rPr>
              <w:t>Peak VRAM (MB)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F3F6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376.34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F3F6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496.31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F3F6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586.33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F3F6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1933.94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F3F6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1932.66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F3F6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1958.69</w:t>
            </w:r>
          </w:p>
        </w:tc>
        <w:tc>
          <w:tcPr>
            <w:tcW w:type="dxa" w:w="2232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F3F6F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796.44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28303A"/>
                <w:sz w:val="14"/>
              </w:rPr>
              <w:t>WER (%)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5.282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5.282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5.282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5.282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5.282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5.282</w:t>
            </w:r>
          </w:p>
        </w:tc>
        <w:tc>
          <w:tcPr>
            <w:tcW w:type="dxa" w:w="2232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5.282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28303A"/>
                <w:sz w:val="14"/>
              </w:rPr>
              <w:t>Exact match (%)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100</w:t>
            </w:r>
          </w:p>
        </w:tc>
        <w:tc>
          <w:tcPr>
            <w:tcW w:type="dxa" w:w="1785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99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99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99</w:t>
            </w:r>
          </w:p>
        </w:tc>
        <w:tc>
          <w:tcPr>
            <w:tcW w:type="dxa" w:w="17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99</w:t>
            </w:r>
          </w:p>
        </w:tc>
        <w:tc>
          <w:tcPr>
            <w:tcW w:type="dxa" w:w="1584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99</w:t>
            </w:r>
          </w:p>
        </w:tc>
        <w:tc>
          <w:tcPr>
            <w:tcW w:type="dxa" w:w="2232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8303A"/>
                <w:sz w:val="14"/>
              </w:rPr>
              <w:t>99</w:t>
            </w:r>
          </w:p>
        </w:tc>
      </w:tr>
    </w:tbl>
    <w:p>
      <w:pPr>
        <w:spacing w:after="0"/>
      </w:pPr>
    </w:p>
    <w:p>
      <w:pPr>
        <w:spacing w:before="40" w:after="40"/>
      </w:pPr>
      <w:r>
        <w:rPr>
          <w:rFonts w:ascii="Arial" w:hAnsi="Arial"/>
          <w:b/>
          <w:color w:val="163A5F"/>
          <w:sz w:val="20"/>
        </w:rPr>
        <w:t>Notes and interpretation</w:t>
      </w:r>
    </w:p>
    <w:p>
      <w:pPr>
        <w:keepLines/>
        <w:spacing w:after="30"/>
        <w:ind w:left="144" w:hanging="144"/>
      </w:pPr>
      <w:r>
        <w:rPr>
          <w:rFonts w:ascii="Arial" w:hAnsi="Arial"/>
          <w:b/>
          <w:sz w:val="16"/>
        </w:rPr>
        <w:t>• Median calculation:</w:t>
      </w:r>
      <w:r>
        <w:rPr>
          <w:rFonts w:ascii="Arial" w:hAnsi="Arial"/>
          <w:sz w:val="16"/>
        </w:rPr>
        <w:t xml:space="preserve"> n = 3 runs. Each metric median was calculated independently; therefore, a displayed row does not correspond to one single run.</w:t>
      </w:r>
    </w:p>
    <w:p>
      <w:pPr>
        <w:keepLines/>
        <w:spacing w:after="30"/>
        <w:ind w:left="144" w:hanging="144"/>
      </w:pPr>
      <w:r>
        <w:rPr>
          <w:rFonts w:ascii="Arial" w:hAnsi="Arial"/>
          <w:b/>
          <w:sz w:val="16"/>
        </w:rPr>
        <w:t>• Clock stability:</w:t>
      </w:r>
      <w:r>
        <w:rPr>
          <w:rFonts w:ascii="Arial" w:hAnsi="Arial"/>
          <w:sz w:val="16"/>
        </w:rPr>
        <w:t xml:space="preserve"> The runs failed the GPU clock-stability gate. Treat these results as indicative until the benchmark is repeated in a clean-clock session.</w:t>
      </w:r>
    </w:p>
    <w:p>
      <w:pPr>
        <w:keepLines/>
        <w:spacing w:after="30"/>
        <w:ind w:left="144" w:hanging="144"/>
      </w:pPr>
      <w:r>
        <w:rPr>
          <w:rFonts w:ascii="Arial" w:hAnsi="Arial"/>
          <w:b/>
          <w:sz w:val="16"/>
        </w:rPr>
        <w:t>• Poisson high throughput:</w:t>
      </w:r>
      <w:r>
        <w:rPr>
          <w:rFonts w:ascii="Arial" w:hAnsi="Arial"/>
          <w:sz w:val="16"/>
        </w:rPr>
        <w:t xml:space="preserve"> The arrival rate caps throughput at about 4.36 req/s, so capacity is effectively tied across configurations; the main differences appear in tail latency.</w:t>
      </w:r>
    </w:p>
    <w:p>
      <w:pPr>
        <w:keepLines/>
        <w:spacing w:after="30"/>
        <w:ind w:left="144" w:hanging="144"/>
      </w:pPr>
      <w:r>
        <w:rPr>
          <w:rFonts w:ascii="Arial" w:hAnsi="Arial"/>
          <w:b/>
          <w:sz w:val="16"/>
        </w:rPr>
        <w:t>• WER context:</w:t>
      </w:r>
      <w:r>
        <w:rPr>
          <w:rFonts w:ascii="Arial" w:hAnsi="Arial"/>
          <w:sz w:val="16"/>
        </w:rPr>
        <w:t xml:space="preserve"> Before sharing externally, specify the model checkpoint and dataset subset behind the reported 5.282% WER.</w:t>
      </w:r>
    </w:p>
    <w:sectPr w:rsidR="00FC693F" w:rsidRPr="0006063C" w:rsidSect="00034616">
      <w:footerReference w:type="default" r:id="rId9"/>
      <w:pgSz w:w="15840" w:h="12240" w:orient="landscape"/>
      <w:pgMar w:top="605" w:right="547" w:bottom="605" w:left="547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color w:val="78828C"/>
        <w:sz w:val="14"/>
      </w:rPr>
      <w:t xml:space="preserve">Speech-Serving Engine  |  </w:t>
    </w:r>
    <w:r>
      <w:rPr>
        <w:rFonts w:ascii="Arial" w:hAnsi="Arial"/>
        <w:color w:val="78828C"/>
        <w:sz w:val="1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 w:eastAsia="Arial"/>
      <w:color w:val="28303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63A5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63A5F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63A5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Speech-Serving Engine: Median Benchmark Results</dc:title>
  <dc:subject>Median benchmark comparison for Burst and Poisson high workloads</dc:subject>
  <dc:creator/>
  <cp:keywords>speech serving, inference, benchmark, latency, VRAM, WER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