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b/>
          <w:color w:val="4E807A"/>
          <w:sz w:val="34"/>
        </w:rPr>
        <w:t>NASSAU CANDY</w:t>
        <w:br/>
      </w:r>
      <w:r>
        <w:rPr>
          <w:b/>
          <w:color w:val="17324D"/>
          <w:sz w:val="34"/>
        </w:rPr>
        <w:t>DISTRIBUTOR ANALYTICS</w:t>
      </w:r>
    </w:p>
    <w:p/>
    <w:p>
      <w:pPr>
        <w:pStyle w:val="Title"/>
      </w:pPr>
      <w:r>
        <w:t>Executive Summary</w:t>
      </w:r>
    </w:p>
    <w:p>
      <w:r>
        <w:rPr>
          <w:color w:val="4E807A"/>
          <w:sz w:val="28"/>
        </w:rPr>
        <w:t>Product profitability and margin performance</w:t>
      </w:r>
    </w:p>
    <w:p/>
    <w:p>
      <w:r>
        <w:rPr>
          <w:color w:val="505F69"/>
          <w:sz w:val="20"/>
        </w:rPr>
        <w:t>Decision-maker briefing | Prepared 21 October 2026</w:t>
      </w:r>
    </w:p>
    <w:p/>
    <w:p>
      <w:r>
        <w:rPr>
          <w:i/>
          <w:color w:val="6E7D88"/>
          <w:sz w:val="18"/>
        </w:rPr>
        <w:t>Prepared from the supplied Nassau Candy Distributor CSV and project brief.</w:t>
      </w:r>
    </w:p>
    <w:p>
      <w:r>
        <w:br w:type="page"/>
      </w:r>
    </w:p>
    <w:p>
      <w:pPr>
        <w:pStyle w:val="Heading1"/>
      </w:pPr>
      <w:r>
        <w:t>Purpose and approach</w:t>
      </w:r>
    </w:p>
    <w:p>
      <w:r>
        <w:t>This analysis tests whether Nassau Candy Distributor's recorded sales translate into gross profit and identifies where management should focus product pricing, cost management, and portfolio reviews. It uses 10,194 usable rows from the supplied dataset, 15 products, and three product divisions. Data checks found no missing values, exact duplicate rows, or material mismatch in Gross Profit = Sales - Cost. All records remain usable for financial analysis. The major data caveat is that every Ship Date is 904-1,642 days after Order Date; shipment-performance conclusions are not reliable until those dates are verified.</w:t>
      </w:r>
    </w:p>
    <w:p>
      <w:pPr>
        <w:pStyle w:val="Heading1"/>
      </w:pPr>
      <w:r>
        <w:t>Headline indicators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24D"/>
            <w:tcMar>
              <w:top w:w="70" w:type="dxa"/>
              <w:start w:w="90" w:type="dxa"/>
              <w:bottom w:w="70" w:type="dxa"/>
              <w:end w:w="90" w:type="dxa"/>
            </w:tcMar>
          </w:tcPr>
          <w:p>
            <w:pPr>
              <w:spacing w:after="0"/>
            </w:pPr>
            <w:r>
              <w:rPr>
                <w:b/>
                <w:color w:val="FFFFFF"/>
                <w:sz w:val="17"/>
              </w:rPr>
              <w:t>Indicator</w:t>
            </w:r>
          </w:p>
        </w:tc>
        <w:tc>
          <w:tcPr>
            <w:tcW w:type="dxa" w:w="4997"/>
            <w:shd w:fill="#17324D"/>
            <w:tcMar>
              <w:top w:w="70" w:type="dxa"/>
              <w:start w:w="90" w:type="dxa"/>
              <w:bottom w:w="70" w:type="dxa"/>
              <w:end w:w="90" w:type="dxa"/>
            </w:tcMar>
          </w:tcPr>
          <w:p>
            <w:pPr>
              <w:spacing w:after="0"/>
            </w:pPr>
            <w:r>
              <w:rPr>
                <w:b/>
                <w:color w:val="FFFFFF"/>
                <w:sz w:val="17"/>
              </w:rPr>
              <w:t>Result</w:t>
            </w:r>
          </w:p>
        </w:tc>
      </w:tr>
      <w:tr>
        <w:trPr>
          <w:cantSplit/>
        </w:trPr>
        <w:tc>
          <w:tcPr>
            <w:tcW w:type="dxa" w:w="4997"/>
            <w:vAlign w:val="center"/>
            <w:tcMar>
              <w:top w:w="70" w:type="dxa"/>
              <w:start w:w="90" w:type="dxa"/>
              <w:bottom w:w="70" w:type="dxa"/>
              <w:end w:w="90" w:type="dxa"/>
            </w:tcMar>
          </w:tcPr>
          <w:p>
            <w:pPr>
              <w:spacing w:after="0"/>
            </w:pPr>
            <w:r>
              <w:rPr>
                <w:sz w:val="17"/>
              </w:rPr>
              <w:t>Total sales</w:t>
            </w:r>
          </w:p>
        </w:tc>
        <w:tc>
          <w:tcPr>
            <w:tcW w:type="dxa" w:w="4997"/>
            <w:vAlign w:val="center"/>
            <w:tcMar>
              <w:top w:w="70" w:type="dxa"/>
              <w:start w:w="90" w:type="dxa"/>
              <w:bottom w:w="70" w:type="dxa"/>
              <w:end w:w="90" w:type="dxa"/>
            </w:tcMar>
          </w:tcPr>
          <w:p>
            <w:pPr>
              <w:spacing w:after="0"/>
            </w:pPr>
            <w:r>
              <w:rPr>
                <w:sz w:val="17"/>
              </w:rPr>
              <w:t>$141,783.63</w:t>
            </w:r>
          </w:p>
        </w:tc>
      </w:tr>
      <w:tr>
        <w:trPr>
          <w:cantSplit/>
        </w:trPr>
        <w:tc>
          <w:tcPr>
            <w:tcW w:type="dxa" w:w="4997"/>
            <w:vAlign w:val="center"/>
            <w:tcMar>
              <w:top w:w="70" w:type="dxa"/>
              <w:start w:w="90" w:type="dxa"/>
              <w:bottom w:w="70" w:type="dxa"/>
              <w:end w:w="90" w:type="dxa"/>
            </w:tcMar>
            <w:shd w:fill="F3F6F8"/>
          </w:tcPr>
          <w:p>
            <w:pPr>
              <w:spacing w:after="0"/>
            </w:pPr>
            <w:r>
              <w:rPr>
                <w:sz w:val="17"/>
              </w:rPr>
              <w:t>Total gross profit</w:t>
            </w:r>
          </w:p>
        </w:tc>
        <w:tc>
          <w:tcPr>
            <w:tcW w:type="dxa" w:w="4997"/>
            <w:vAlign w:val="center"/>
            <w:tcMar>
              <w:top w:w="70" w:type="dxa"/>
              <w:start w:w="90" w:type="dxa"/>
              <w:bottom w:w="70" w:type="dxa"/>
              <w:end w:w="90" w:type="dxa"/>
            </w:tcMar>
            <w:shd w:fill="F3F6F8"/>
          </w:tcPr>
          <w:p>
            <w:pPr>
              <w:spacing w:after="0"/>
            </w:pPr>
            <w:r>
              <w:rPr>
                <w:sz w:val="17"/>
              </w:rPr>
              <w:t>$93,442.80</w:t>
            </w:r>
          </w:p>
        </w:tc>
      </w:tr>
      <w:tr>
        <w:trPr>
          <w:cantSplit/>
        </w:trPr>
        <w:tc>
          <w:tcPr>
            <w:tcW w:type="dxa" w:w="4997"/>
            <w:vAlign w:val="center"/>
            <w:tcMar>
              <w:top w:w="70" w:type="dxa"/>
              <w:start w:w="90" w:type="dxa"/>
              <w:bottom w:w="70" w:type="dxa"/>
              <w:end w:w="90" w:type="dxa"/>
            </w:tcMar>
          </w:tcPr>
          <w:p>
            <w:pPr>
              <w:spacing w:after="0"/>
            </w:pPr>
            <w:r>
              <w:rPr>
                <w:sz w:val="17"/>
              </w:rPr>
              <w:t>Total cost</w:t>
            </w:r>
          </w:p>
        </w:tc>
        <w:tc>
          <w:tcPr>
            <w:tcW w:type="dxa" w:w="4997"/>
            <w:vAlign w:val="center"/>
            <w:tcMar>
              <w:top w:w="70" w:type="dxa"/>
              <w:start w:w="90" w:type="dxa"/>
              <w:bottom w:w="70" w:type="dxa"/>
              <w:end w:w="90" w:type="dxa"/>
            </w:tcMar>
          </w:tcPr>
          <w:p>
            <w:pPr>
              <w:spacing w:after="0"/>
            </w:pPr>
            <w:r>
              <w:rPr>
                <w:sz w:val="17"/>
              </w:rPr>
              <w:t>$48,340.83</w:t>
            </w:r>
          </w:p>
        </w:tc>
      </w:tr>
      <w:tr>
        <w:trPr>
          <w:cantSplit/>
        </w:trPr>
        <w:tc>
          <w:tcPr>
            <w:tcW w:type="dxa" w:w="4997"/>
            <w:vAlign w:val="center"/>
            <w:tcMar>
              <w:top w:w="70" w:type="dxa"/>
              <w:start w:w="90" w:type="dxa"/>
              <w:bottom w:w="70" w:type="dxa"/>
              <w:end w:w="90" w:type="dxa"/>
            </w:tcMar>
            <w:shd w:fill="F3F6F8"/>
          </w:tcPr>
          <w:p>
            <w:pPr>
              <w:spacing w:after="0"/>
            </w:pPr>
            <w:r>
              <w:rPr>
                <w:sz w:val="17"/>
              </w:rPr>
              <w:t>Weighted gross margin</w:t>
            </w:r>
          </w:p>
        </w:tc>
        <w:tc>
          <w:tcPr>
            <w:tcW w:type="dxa" w:w="4997"/>
            <w:vAlign w:val="center"/>
            <w:tcMar>
              <w:top w:w="70" w:type="dxa"/>
              <w:start w:w="90" w:type="dxa"/>
              <w:bottom w:w="70" w:type="dxa"/>
              <w:end w:w="90" w:type="dxa"/>
            </w:tcMar>
            <w:shd w:fill="F3F6F8"/>
          </w:tcPr>
          <w:p>
            <w:pPr>
              <w:spacing w:after="0"/>
            </w:pPr>
            <w:r>
              <w:rPr>
                <w:sz w:val="17"/>
              </w:rPr>
              <w:t>65.91%</w:t>
            </w:r>
          </w:p>
        </w:tc>
      </w:tr>
      <w:tr>
        <w:trPr>
          <w:cantSplit/>
        </w:trPr>
        <w:tc>
          <w:tcPr>
            <w:tcW w:type="dxa" w:w="4997"/>
            <w:vAlign w:val="center"/>
            <w:tcMar>
              <w:top w:w="70" w:type="dxa"/>
              <w:start w:w="90" w:type="dxa"/>
              <w:bottom w:w="70" w:type="dxa"/>
              <w:end w:w="90" w:type="dxa"/>
            </w:tcMar>
          </w:tcPr>
          <w:p>
            <w:pPr>
              <w:spacing w:after="0"/>
            </w:pPr>
            <w:r>
              <w:rPr>
                <w:sz w:val="17"/>
              </w:rPr>
              <w:t>Cost as share of sales</w:t>
            </w:r>
          </w:p>
        </w:tc>
        <w:tc>
          <w:tcPr>
            <w:tcW w:type="dxa" w:w="4997"/>
            <w:vAlign w:val="center"/>
            <w:tcMar>
              <w:top w:w="70" w:type="dxa"/>
              <w:start w:w="90" w:type="dxa"/>
              <w:bottom w:w="70" w:type="dxa"/>
              <w:end w:w="90" w:type="dxa"/>
            </w:tcMar>
          </w:tcPr>
          <w:p>
            <w:pPr>
              <w:spacing w:after="0"/>
            </w:pPr>
            <w:r>
              <w:rPr>
                <w:sz w:val="17"/>
              </w:rPr>
              <w:t>34.09%</w:t>
            </w:r>
          </w:p>
        </w:tc>
      </w:tr>
      <w:tr>
        <w:trPr>
          <w:cantSplit/>
        </w:trPr>
        <w:tc>
          <w:tcPr>
            <w:tcW w:type="dxa" w:w="4997"/>
            <w:vAlign w:val="center"/>
            <w:tcMar>
              <w:top w:w="70" w:type="dxa"/>
              <w:start w:w="90" w:type="dxa"/>
              <w:bottom w:w="70" w:type="dxa"/>
              <w:end w:w="90" w:type="dxa"/>
            </w:tcMar>
            <w:shd w:fill="F3F6F8"/>
          </w:tcPr>
          <w:p>
            <w:pPr>
              <w:spacing w:after="0"/>
            </w:pPr>
            <w:r>
              <w:rPr>
                <w:sz w:val="17"/>
              </w:rPr>
              <w:t>Units recorded</w:t>
            </w:r>
          </w:p>
        </w:tc>
        <w:tc>
          <w:tcPr>
            <w:tcW w:type="dxa" w:w="4997"/>
            <w:vAlign w:val="center"/>
            <w:tcMar>
              <w:top w:w="70" w:type="dxa"/>
              <w:start w:w="90" w:type="dxa"/>
              <w:bottom w:w="70" w:type="dxa"/>
              <w:end w:w="90" w:type="dxa"/>
            </w:tcMar>
            <w:shd w:fill="F3F6F8"/>
          </w:tcPr>
          <w:p>
            <w:pPr>
              <w:spacing w:after="0"/>
            </w:pPr>
            <w:r>
              <w:rPr>
                <w:sz w:val="17"/>
              </w:rPr>
              <w:t>38,654</w:t>
            </w:r>
          </w:p>
        </w:tc>
      </w:tr>
      <w:tr>
        <w:trPr>
          <w:cantSplit/>
        </w:trPr>
        <w:tc>
          <w:tcPr>
            <w:tcW w:type="dxa" w:w="4997"/>
            <w:vAlign w:val="center"/>
            <w:tcMar>
              <w:top w:w="70" w:type="dxa"/>
              <w:start w:w="90" w:type="dxa"/>
              <w:bottom w:w="70" w:type="dxa"/>
              <w:end w:w="90" w:type="dxa"/>
            </w:tcMar>
          </w:tcPr>
          <w:p>
            <w:pPr>
              <w:spacing w:after="0"/>
            </w:pPr>
            <w:r>
              <w:rPr>
                <w:sz w:val="17"/>
              </w:rPr>
              <w:t>Distinct products / customers</w:t>
            </w:r>
          </w:p>
        </w:tc>
        <w:tc>
          <w:tcPr>
            <w:tcW w:type="dxa" w:w="4997"/>
            <w:vAlign w:val="center"/>
            <w:tcMar>
              <w:top w:w="70" w:type="dxa"/>
              <w:start w:w="90" w:type="dxa"/>
              <w:bottom w:w="70" w:type="dxa"/>
              <w:end w:w="90" w:type="dxa"/>
            </w:tcMar>
          </w:tcPr>
          <w:p>
            <w:pPr>
              <w:spacing w:after="0"/>
            </w:pPr>
            <w:r>
              <w:rPr>
                <w:sz w:val="17"/>
              </w:rPr>
              <w:t>15 / 5,044</w:t>
            </w:r>
          </w:p>
        </w:tc>
      </w:tr>
      <w:tr>
        <w:trPr>
          <w:cantSplit/>
        </w:trPr>
        <w:tc>
          <w:tcPr>
            <w:tcW w:type="dxa" w:w="4997"/>
            <w:vAlign w:val="center"/>
            <w:tcMar>
              <w:top w:w="70" w:type="dxa"/>
              <w:start w:w="90" w:type="dxa"/>
              <w:bottom w:w="70" w:type="dxa"/>
              <w:end w:w="90" w:type="dxa"/>
            </w:tcMar>
            <w:shd w:fill="F3F6F8"/>
          </w:tcPr>
          <w:p>
            <w:pPr>
              <w:spacing w:after="0"/>
            </w:pPr>
            <w:r>
              <w:rPr>
                <w:sz w:val="17"/>
              </w:rPr>
              <w:t>Monthly margin volatility</w:t>
            </w:r>
          </w:p>
        </w:tc>
        <w:tc>
          <w:tcPr>
            <w:tcW w:type="dxa" w:w="4997"/>
            <w:vAlign w:val="center"/>
            <w:tcMar>
              <w:top w:w="70" w:type="dxa"/>
              <w:start w:w="90" w:type="dxa"/>
              <w:bottom w:w="70" w:type="dxa"/>
              <w:end w:w="90" w:type="dxa"/>
            </w:tcMar>
            <w:shd w:fill="F3F6F8"/>
          </w:tcPr>
          <w:p>
            <w:pPr>
              <w:spacing w:after="0"/>
            </w:pPr>
            <w:r>
              <w:rPr>
                <w:sz w:val="17"/>
              </w:rPr>
              <w:t>0.525 percentage points (SD)</w:t>
            </w:r>
          </w:p>
        </w:tc>
      </w:tr>
    </w:tbl>
    <w:p>
      <w:pPr>
        <w:spacing w:after="20"/>
      </w:pPr>
    </w:p>
    <w:p>
      <w:pPr>
        <w:pStyle w:val="Heading1"/>
      </w:pPr>
      <w:r>
        <w:t>What the analysis says</w:t>
      </w:r>
    </w:p>
    <w:p>
      <w:pPr>
        <w:pStyle w:val="ListBullet"/>
        <w:spacing w:after="40"/>
      </w:pPr>
      <w:r/>
      <w:r>
        <w:rPr>
          <w:b/>
        </w:rPr>
        <w:t>Chocolate is the earnings engine.</w:t>
      </w:r>
      <w:r>
        <w:t xml:space="preserve"> It generates $131,692.90 in sales, $88,824.62 gross profit, 92.88% of revenue, and 95.06% of gross profit. Its weighted gross margin is 67.45%.</w:t>
      </w:r>
    </w:p>
    <w:p>
      <w:pPr>
        <w:pStyle w:val="ListBullet"/>
        <w:spacing w:after="40"/>
      </w:pPr>
      <w:r/>
      <w:r>
        <w:rPr>
          <w:b/>
        </w:rPr>
        <w:t>Profit is concentrated in five products.</w:t>
      </w:r>
      <w:r>
        <w:t xml:space="preserve"> The top five account for 92.88% of revenue and 95.06% of positive gross profit. Protecting availability and margin on these products is a priority.</w:t>
      </w:r>
    </w:p>
    <w:p>
      <w:pPr>
        <w:pStyle w:val="ListBullet"/>
        <w:spacing w:after="40"/>
      </w:pPr>
      <w:r/>
      <w:r>
        <w:rPr>
          <w:b/>
        </w:rPr>
        <w:t>Kazookles is the clearest margin-review candidate.</w:t>
      </w:r>
      <w:r>
        <w:t xml:space="preserve"> It has $1,205.75 sales, $92.75 gross profit, 7.69% gross margin, and 92.31% cost ratio. Review realized prices, discounts, cost components, and the product's strategic role before making any assortment decision.</w:t>
      </w:r>
    </w:p>
    <w:p>
      <w:pPr>
        <w:pStyle w:val="ListBullet"/>
        <w:spacing w:after="40"/>
      </w:pPr>
      <w:r/>
      <w:r>
        <w:rPr>
          <w:b/>
        </w:rPr>
        <w:t>Other underperforms its revenue share.</w:t>
      </w:r>
      <w:r>
        <w:t xml:space="preserve"> Its 44.84% weighted margin produces 4.64% of profit from 6.82% of revenue. A product mix and cost review is warranted.</w:t>
      </w:r>
    </w:p>
    <w:p>
      <w:pPr>
        <w:pStyle w:val="ListBullet"/>
        <w:spacing w:after="40"/>
      </w:pPr>
      <w:r/>
      <w:r>
        <w:rPr>
          <w:b/>
        </w:rPr>
        <w:t>High percentages on tiny products are weak evidence.</w:t>
      </w:r>
      <w:r>
        <w:t xml:space="preserve"> Everlasting Gobstopper has 80.00% margin but only $130.00 sales and 3 source rows. Validate demand before scaling it.</w:t>
      </w:r>
    </w:p>
    <w:p>
      <w:pPr>
        <w:pStyle w:val="ListBullet"/>
        <w:spacing w:after="40"/>
      </w:pPr>
      <w:r/>
      <w:r>
        <w:rPr>
          <w:b/>
        </w:rPr>
        <w:t>Geographic exposure is measurable.</w:t>
      </w:r>
      <w:r>
        <w:t xml:space="preserve"> Pacific is the largest region at $46,301.53 revenue (32.66%); California is the largest state at $27,917.40 (19.69%). This is customer concentration, not proof of delivery congestion.</w:t>
      </w:r>
    </w:p>
    <w:p>
      <w:pPr>
        <w:pStyle w:val="Heading1"/>
      </w:pPr>
      <w:r>
        <w:t>Division comparison</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cantSplit/>
        </w:trPr>
        <w:tc>
          <w:tcPr>
            <w:tcW w:type="dxa" w:w="1249"/>
            <w:shd w:fill="#17324D"/>
            <w:tcMar>
              <w:top w:w="70" w:type="dxa"/>
              <w:start w:w="90" w:type="dxa"/>
              <w:bottom w:w="70" w:type="dxa"/>
              <w:end w:w="90" w:type="dxa"/>
            </w:tcMar>
          </w:tcPr>
          <w:p>
            <w:pPr>
              <w:spacing w:after="0"/>
            </w:pPr>
            <w:r>
              <w:rPr>
                <w:b/>
                <w:color w:val="FFFFFF"/>
                <w:sz w:val="14"/>
              </w:rPr>
              <w:t>Division</w:t>
            </w:r>
          </w:p>
        </w:tc>
        <w:tc>
          <w:tcPr>
            <w:tcW w:type="dxa" w:w="1249"/>
            <w:shd w:fill="#17324D"/>
            <w:tcMar>
              <w:top w:w="70" w:type="dxa"/>
              <w:start w:w="90" w:type="dxa"/>
              <w:bottom w:w="70" w:type="dxa"/>
              <w:end w:w="90" w:type="dxa"/>
            </w:tcMar>
          </w:tcPr>
          <w:p>
            <w:pPr>
              <w:spacing w:after="0"/>
            </w:pPr>
            <w:r>
              <w:rPr>
                <w:b/>
                <w:color w:val="FFFFFF"/>
                <w:sz w:val="14"/>
              </w:rPr>
              <w:t>Sales</w:t>
            </w:r>
          </w:p>
        </w:tc>
        <w:tc>
          <w:tcPr>
            <w:tcW w:type="dxa" w:w="1249"/>
            <w:shd w:fill="#17324D"/>
            <w:tcMar>
              <w:top w:w="70" w:type="dxa"/>
              <w:start w:w="90" w:type="dxa"/>
              <w:bottom w:w="70" w:type="dxa"/>
              <w:end w:w="90" w:type="dxa"/>
            </w:tcMar>
          </w:tcPr>
          <w:p>
            <w:pPr>
              <w:spacing w:after="0"/>
            </w:pPr>
            <w:r>
              <w:rPr>
                <w:b/>
                <w:color w:val="FFFFFF"/>
                <w:sz w:val="14"/>
              </w:rPr>
              <w:t>Gross Profit</w:t>
            </w:r>
          </w:p>
        </w:tc>
        <w:tc>
          <w:tcPr>
            <w:tcW w:type="dxa" w:w="1249"/>
            <w:shd w:fill="#17324D"/>
            <w:tcMar>
              <w:top w:w="70" w:type="dxa"/>
              <w:start w:w="90" w:type="dxa"/>
              <w:bottom w:w="70" w:type="dxa"/>
              <w:end w:w="90" w:type="dxa"/>
            </w:tcMar>
          </w:tcPr>
          <w:p>
            <w:pPr>
              <w:spacing w:after="0"/>
            </w:pPr>
            <w:r>
              <w:rPr>
                <w:b/>
                <w:color w:val="FFFFFF"/>
                <w:sz w:val="14"/>
              </w:rPr>
              <w:t>Gross Margin (%)</w:t>
            </w:r>
          </w:p>
        </w:tc>
        <w:tc>
          <w:tcPr>
            <w:tcW w:type="dxa" w:w="1249"/>
            <w:shd w:fill="#17324D"/>
            <w:tcMar>
              <w:top w:w="70" w:type="dxa"/>
              <w:start w:w="90" w:type="dxa"/>
              <w:bottom w:w="70" w:type="dxa"/>
              <w:end w:w="90" w:type="dxa"/>
            </w:tcMar>
          </w:tcPr>
          <w:p>
            <w:pPr>
              <w:spacing w:after="0"/>
            </w:pPr>
            <w:r>
              <w:rPr>
                <w:b/>
                <w:color w:val="FFFFFF"/>
                <w:sz w:val="14"/>
              </w:rPr>
              <w:t>Revenue Contribution (%)</w:t>
            </w:r>
          </w:p>
        </w:tc>
        <w:tc>
          <w:tcPr>
            <w:tcW w:type="dxa" w:w="1249"/>
            <w:shd w:fill="#17324D"/>
            <w:tcMar>
              <w:top w:w="70" w:type="dxa"/>
              <w:start w:w="90" w:type="dxa"/>
              <w:bottom w:w="70" w:type="dxa"/>
              <w:end w:w="90" w:type="dxa"/>
            </w:tcMar>
          </w:tcPr>
          <w:p>
            <w:pPr>
              <w:spacing w:after="0"/>
            </w:pPr>
            <w:r>
              <w:rPr>
                <w:b/>
                <w:color w:val="FFFFFF"/>
                <w:sz w:val="14"/>
              </w:rPr>
              <w:t>Profit Contribution (%)</w:t>
            </w:r>
          </w:p>
        </w:tc>
        <w:tc>
          <w:tcPr>
            <w:tcW w:type="dxa" w:w="1249"/>
            <w:shd w:fill="#17324D"/>
            <w:tcMar>
              <w:top w:w="70" w:type="dxa"/>
              <w:start w:w="90" w:type="dxa"/>
              <w:bottom w:w="70" w:type="dxa"/>
              <w:end w:w="90" w:type="dxa"/>
            </w:tcMar>
          </w:tcPr>
          <w:p>
            <w:pPr>
              <w:spacing w:after="0"/>
            </w:pPr>
            <w:r>
              <w:rPr>
                <w:b/>
                <w:color w:val="FFFFFF"/>
                <w:sz w:val="14"/>
              </w:rPr>
              <w:t>Rows</w:t>
            </w:r>
          </w:p>
        </w:tc>
        <w:tc>
          <w:tcPr>
            <w:tcW w:type="dxa" w:w="1249"/>
            <w:shd w:fill="#17324D"/>
            <w:tcMar>
              <w:top w:w="70" w:type="dxa"/>
              <w:start w:w="90" w:type="dxa"/>
              <w:bottom w:w="70" w:type="dxa"/>
              <w:end w:w="90" w:type="dxa"/>
            </w:tcMar>
          </w:tcPr>
          <w:p>
            <w:pPr>
              <w:spacing w:after="0"/>
            </w:pPr>
            <w:r>
              <w:rPr>
                <w:b/>
                <w:color w:val="FFFFFF"/>
                <w:sz w:val="14"/>
              </w:rPr>
              <w:t>Products</w:t>
            </w:r>
          </w:p>
        </w:tc>
      </w:tr>
      <w:tr>
        <w:trPr>
          <w:cantSplit/>
        </w:trPr>
        <w:tc>
          <w:tcPr>
            <w:tcW w:type="dxa" w:w="1249"/>
            <w:vAlign w:val="center"/>
            <w:tcMar>
              <w:top w:w="70" w:type="dxa"/>
              <w:start w:w="90" w:type="dxa"/>
              <w:bottom w:w="70" w:type="dxa"/>
              <w:end w:w="90" w:type="dxa"/>
            </w:tcMar>
          </w:tcPr>
          <w:p>
            <w:pPr>
              <w:spacing w:after="0"/>
            </w:pPr>
            <w:r>
              <w:rPr>
                <w:sz w:val="14"/>
              </w:rPr>
              <w:t>Chocolate</w:t>
            </w:r>
          </w:p>
        </w:tc>
        <w:tc>
          <w:tcPr>
            <w:tcW w:type="dxa" w:w="1249"/>
            <w:vAlign w:val="center"/>
            <w:tcMar>
              <w:top w:w="70" w:type="dxa"/>
              <w:start w:w="90" w:type="dxa"/>
              <w:bottom w:w="70" w:type="dxa"/>
              <w:end w:w="90" w:type="dxa"/>
            </w:tcMar>
          </w:tcPr>
          <w:p>
            <w:pPr>
              <w:spacing w:after="0"/>
            </w:pPr>
            <w:r>
              <w:rPr>
                <w:sz w:val="14"/>
              </w:rPr>
              <w:t>$131,692.90</w:t>
            </w:r>
          </w:p>
        </w:tc>
        <w:tc>
          <w:tcPr>
            <w:tcW w:type="dxa" w:w="1249"/>
            <w:vAlign w:val="center"/>
            <w:tcMar>
              <w:top w:w="70" w:type="dxa"/>
              <w:start w:w="90" w:type="dxa"/>
              <w:bottom w:w="70" w:type="dxa"/>
              <w:end w:w="90" w:type="dxa"/>
            </w:tcMar>
          </w:tcPr>
          <w:p>
            <w:pPr>
              <w:spacing w:after="0"/>
            </w:pPr>
            <w:r>
              <w:rPr>
                <w:sz w:val="14"/>
              </w:rPr>
              <w:t>$88,824.62</w:t>
            </w:r>
          </w:p>
        </w:tc>
        <w:tc>
          <w:tcPr>
            <w:tcW w:type="dxa" w:w="1249"/>
            <w:vAlign w:val="center"/>
            <w:tcMar>
              <w:top w:w="70" w:type="dxa"/>
              <w:start w:w="90" w:type="dxa"/>
              <w:bottom w:w="70" w:type="dxa"/>
              <w:end w:w="90" w:type="dxa"/>
            </w:tcMar>
          </w:tcPr>
          <w:p>
            <w:pPr>
              <w:spacing w:after="0"/>
            </w:pPr>
            <w:r>
              <w:rPr>
                <w:sz w:val="14"/>
              </w:rPr>
              <w:t>67.45%</w:t>
            </w:r>
          </w:p>
        </w:tc>
        <w:tc>
          <w:tcPr>
            <w:tcW w:type="dxa" w:w="1249"/>
            <w:vAlign w:val="center"/>
            <w:tcMar>
              <w:top w:w="70" w:type="dxa"/>
              <w:start w:w="90" w:type="dxa"/>
              <w:bottom w:w="70" w:type="dxa"/>
              <w:end w:w="90" w:type="dxa"/>
            </w:tcMar>
          </w:tcPr>
          <w:p>
            <w:pPr>
              <w:spacing w:after="0"/>
            </w:pPr>
            <w:r>
              <w:rPr>
                <w:sz w:val="14"/>
              </w:rPr>
              <w:t>92.88%</w:t>
            </w:r>
          </w:p>
        </w:tc>
        <w:tc>
          <w:tcPr>
            <w:tcW w:type="dxa" w:w="1249"/>
            <w:vAlign w:val="center"/>
            <w:tcMar>
              <w:top w:w="70" w:type="dxa"/>
              <w:start w:w="90" w:type="dxa"/>
              <w:bottom w:w="70" w:type="dxa"/>
              <w:end w:w="90" w:type="dxa"/>
            </w:tcMar>
          </w:tcPr>
          <w:p>
            <w:pPr>
              <w:spacing w:after="0"/>
            </w:pPr>
            <w:r>
              <w:rPr>
                <w:sz w:val="14"/>
              </w:rPr>
              <w:t>95.06%</w:t>
            </w:r>
          </w:p>
        </w:tc>
        <w:tc>
          <w:tcPr>
            <w:tcW w:type="dxa" w:w="1249"/>
            <w:vAlign w:val="center"/>
            <w:tcMar>
              <w:top w:w="70" w:type="dxa"/>
              <w:start w:w="90" w:type="dxa"/>
              <w:bottom w:w="70" w:type="dxa"/>
              <w:end w:w="90" w:type="dxa"/>
            </w:tcMar>
          </w:tcPr>
          <w:p>
            <w:pPr>
              <w:spacing w:after="0"/>
            </w:pPr>
            <w:r>
              <w:rPr>
                <w:sz w:val="14"/>
              </w:rPr>
              <w:t>9844</w:t>
            </w:r>
          </w:p>
        </w:tc>
        <w:tc>
          <w:tcPr>
            <w:tcW w:type="dxa" w:w="1249"/>
            <w:vAlign w:val="center"/>
            <w:tcMar>
              <w:top w:w="70" w:type="dxa"/>
              <w:start w:w="90" w:type="dxa"/>
              <w:bottom w:w="70" w:type="dxa"/>
              <w:end w:w="90" w:type="dxa"/>
            </w:tcMar>
          </w:tcPr>
          <w:p>
            <w:pPr>
              <w:spacing w:after="0"/>
            </w:pPr>
            <w:r>
              <w:rPr>
                <w:sz w:val="14"/>
              </w:rPr>
              <w:t>5</w:t>
            </w:r>
          </w:p>
        </w:tc>
      </w:tr>
      <w:tr>
        <w:trPr>
          <w:cantSplit/>
        </w:trPr>
        <w:tc>
          <w:tcPr>
            <w:tcW w:type="dxa" w:w="1249"/>
            <w:vAlign w:val="center"/>
            <w:tcMar>
              <w:top w:w="70" w:type="dxa"/>
              <w:start w:w="90" w:type="dxa"/>
              <w:bottom w:w="70" w:type="dxa"/>
              <w:end w:w="90" w:type="dxa"/>
            </w:tcMar>
            <w:shd w:fill="F3F6F8"/>
          </w:tcPr>
          <w:p>
            <w:pPr>
              <w:spacing w:after="0"/>
            </w:pPr>
            <w:r>
              <w:rPr>
                <w:sz w:val="14"/>
              </w:rPr>
              <w:t>Other</w:t>
            </w:r>
          </w:p>
        </w:tc>
        <w:tc>
          <w:tcPr>
            <w:tcW w:type="dxa" w:w="1249"/>
            <w:vAlign w:val="center"/>
            <w:tcMar>
              <w:top w:w="70" w:type="dxa"/>
              <w:start w:w="90" w:type="dxa"/>
              <w:bottom w:w="70" w:type="dxa"/>
              <w:end w:w="90" w:type="dxa"/>
            </w:tcMar>
            <w:shd w:fill="F3F6F8"/>
          </w:tcPr>
          <w:p>
            <w:pPr>
              <w:spacing w:after="0"/>
            </w:pPr>
            <w:r>
              <w:rPr>
                <w:sz w:val="14"/>
              </w:rPr>
              <w:t>$9,663.25</w:t>
            </w:r>
          </w:p>
        </w:tc>
        <w:tc>
          <w:tcPr>
            <w:tcW w:type="dxa" w:w="1249"/>
            <w:vAlign w:val="center"/>
            <w:tcMar>
              <w:top w:w="70" w:type="dxa"/>
              <w:start w:w="90" w:type="dxa"/>
              <w:bottom w:w="70" w:type="dxa"/>
              <w:end w:w="90" w:type="dxa"/>
            </w:tcMar>
            <w:shd w:fill="F3F6F8"/>
          </w:tcPr>
          <w:p>
            <w:pPr>
              <w:spacing w:after="0"/>
            </w:pPr>
            <w:r>
              <w:rPr>
                <w:sz w:val="14"/>
              </w:rPr>
              <w:t>$4,333.45</w:t>
            </w:r>
          </w:p>
        </w:tc>
        <w:tc>
          <w:tcPr>
            <w:tcW w:type="dxa" w:w="1249"/>
            <w:vAlign w:val="center"/>
            <w:tcMar>
              <w:top w:w="70" w:type="dxa"/>
              <w:start w:w="90" w:type="dxa"/>
              <w:bottom w:w="70" w:type="dxa"/>
              <w:end w:w="90" w:type="dxa"/>
            </w:tcMar>
            <w:shd w:fill="F3F6F8"/>
          </w:tcPr>
          <w:p>
            <w:pPr>
              <w:spacing w:after="0"/>
            </w:pPr>
            <w:r>
              <w:rPr>
                <w:sz w:val="14"/>
              </w:rPr>
              <w:t>44.84%</w:t>
            </w:r>
          </w:p>
        </w:tc>
        <w:tc>
          <w:tcPr>
            <w:tcW w:type="dxa" w:w="1249"/>
            <w:vAlign w:val="center"/>
            <w:tcMar>
              <w:top w:w="70" w:type="dxa"/>
              <w:start w:w="90" w:type="dxa"/>
              <w:bottom w:w="70" w:type="dxa"/>
              <w:end w:w="90" w:type="dxa"/>
            </w:tcMar>
            <w:shd w:fill="F3F6F8"/>
          </w:tcPr>
          <w:p>
            <w:pPr>
              <w:spacing w:after="0"/>
            </w:pPr>
            <w:r>
              <w:rPr>
                <w:sz w:val="14"/>
              </w:rPr>
              <w:t>6.82%</w:t>
            </w:r>
          </w:p>
        </w:tc>
        <w:tc>
          <w:tcPr>
            <w:tcW w:type="dxa" w:w="1249"/>
            <w:vAlign w:val="center"/>
            <w:tcMar>
              <w:top w:w="70" w:type="dxa"/>
              <w:start w:w="90" w:type="dxa"/>
              <w:bottom w:w="70" w:type="dxa"/>
              <w:end w:w="90" w:type="dxa"/>
            </w:tcMar>
            <w:shd w:fill="F3F6F8"/>
          </w:tcPr>
          <w:p>
            <w:pPr>
              <w:spacing w:after="0"/>
            </w:pPr>
            <w:r>
              <w:rPr>
                <w:sz w:val="14"/>
              </w:rPr>
              <w:t>4.64%</w:t>
            </w:r>
          </w:p>
        </w:tc>
        <w:tc>
          <w:tcPr>
            <w:tcW w:type="dxa" w:w="1249"/>
            <w:vAlign w:val="center"/>
            <w:tcMar>
              <w:top w:w="70" w:type="dxa"/>
              <w:start w:w="90" w:type="dxa"/>
              <w:bottom w:w="70" w:type="dxa"/>
              <w:end w:w="90" w:type="dxa"/>
            </w:tcMar>
            <w:shd w:fill="F3F6F8"/>
          </w:tcPr>
          <w:p>
            <w:pPr>
              <w:spacing w:after="0"/>
            </w:pPr>
            <w:r>
              <w:rPr>
                <w:sz w:val="14"/>
              </w:rPr>
              <w:t>310</w:t>
            </w:r>
          </w:p>
        </w:tc>
        <w:tc>
          <w:tcPr>
            <w:tcW w:type="dxa" w:w="1249"/>
            <w:vAlign w:val="center"/>
            <w:tcMar>
              <w:top w:w="70" w:type="dxa"/>
              <w:start w:w="90" w:type="dxa"/>
              <w:bottom w:w="70" w:type="dxa"/>
              <w:end w:w="90" w:type="dxa"/>
            </w:tcMar>
            <w:shd w:fill="F3F6F8"/>
          </w:tcPr>
          <w:p>
            <w:pPr>
              <w:spacing w:after="0"/>
            </w:pPr>
            <w:r>
              <w:rPr>
                <w:sz w:val="14"/>
              </w:rPr>
              <w:t>3</w:t>
            </w:r>
          </w:p>
        </w:tc>
      </w:tr>
      <w:tr>
        <w:trPr>
          <w:cantSplit/>
        </w:trPr>
        <w:tc>
          <w:tcPr>
            <w:tcW w:type="dxa" w:w="1249"/>
            <w:vAlign w:val="center"/>
            <w:tcMar>
              <w:top w:w="70" w:type="dxa"/>
              <w:start w:w="90" w:type="dxa"/>
              <w:bottom w:w="70" w:type="dxa"/>
              <w:end w:w="90" w:type="dxa"/>
            </w:tcMar>
          </w:tcPr>
          <w:p>
            <w:pPr>
              <w:spacing w:after="0"/>
            </w:pPr>
            <w:r>
              <w:rPr>
                <w:sz w:val="14"/>
              </w:rPr>
              <w:t>Sugar</w:t>
            </w:r>
          </w:p>
        </w:tc>
        <w:tc>
          <w:tcPr>
            <w:tcW w:type="dxa" w:w="1249"/>
            <w:vAlign w:val="center"/>
            <w:tcMar>
              <w:top w:w="70" w:type="dxa"/>
              <w:start w:w="90" w:type="dxa"/>
              <w:bottom w:w="70" w:type="dxa"/>
              <w:end w:w="90" w:type="dxa"/>
            </w:tcMar>
          </w:tcPr>
          <w:p>
            <w:pPr>
              <w:spacing w:after="0"/>
            </w:pPr>
            <w:r>
              <w:rPr>
                <w:sz w:val="14"/>
              </w:rPr>
              <w:t>$427.48</w:t>
            </w:r>
          </w:p>
        </w:tc>
        <w:tc>
          <w:tcPr>
            <w:tcW w:type="dxa" w:w="1249"/>
            <w:vAlign w:val="center"/>
            <w:tcMar>
              <w:top w:w="70" w:type="dxa"/>
              <w:start w:w="90" w:type="dxa"/>
              <w:bottom w:w="70" w:type="dxa"/>
              <w:end w:w="90" w:type="dxa"/>
            </w:tcMar>
          </w:tcPr>
          <w:p>
            <w:pPr>
              <w:spacing w:after="0"/>
            </w:pPr>
            <w:r>
              <w:rPr>
                <w:sz w:val="14"/>
              </w:rPr>
              <w:t>$284.73</w:t>
            </w:r>
          </w:p>
        </w:tc>
        <w:tc>
          <w:tcPr>
            <w:tcW w:type="dxa" w:w="1249"/>
            <w:vAlign w:val="center"/>
            <w:tcMar>
              <w:top w:w="70" w:type="dxa"/>
              <w:start w:w="90" w:type="dxa"/>
              <w:bottom w:w="70" w:type="dxa"/>
              <w:end w:w="90" w:type="dxa"/>
            </w:tcMar>
          </w:tcPr>
          <w:p>
            <w:pPr>
              <w:spacing w:after="0"/>
            </w:pPr>
            <w:r>
              <w:rPr>
                <w:sz w:val="14"/>
              </w:rPr>
              <w:t>66.61%</w:t>
            </w:r>
          </w:p>
        </w:tc>
        <w:tc>
          <w:tcPr>
            <w:tcW w:type="dxa" w:w="1249"/>
            <w:vAlign w:val="center"/>
            <w:tcMar>
              <w:top w:w="70" w:type="dxa"/>
              <w:start w:w="90" w:type="dxa"/>
              <w:bottom w:w="70" w:type="dxa"/>
              <w:end w:w="90" w:type="dxa"/>
            </w:tcMar>
          </w:tcPr>
          <w:p>
            <w:pPr>
              <w:spacing w:after="0"/>
            </w:pPr>
            <w:r>
              <w:rPr>
                <w:sz w:val="14"/>
              </w:rPr>
              <w:t>0.30%</w:t>
            </w:r>
          </w:p>
        </w:tc>
        <w:tc>
          <w:tcPr>
            <w:tcW w:type="dxa" w:w="1249"/>
            <w:vAlign w:val="center"/>
            <w:tcMar>
              <w:top w:w="70" w:type="dxa"/>
              <w:start w:w="90" w:type="dxa"/>
              <w:bottom w:w="70" w:type="dxa"/>
              <w:end w:w="90" w:type="dxa"/>
            </w:tcMar>
          </w:tcPr>
          <w:p>
            <w:pPr>
              <w:spacing w:after="0"/>
            </w:pPr>
            <w:r>
              <w:rPr>
                <w:sz w:val="14"/>
              </w:rPr>
              <w:t>0.30%</w:t>
            </w:r>
          </w:p>
        </w:tc>
        <w:tc>
          <w:tcPr>
            <w:tcW w:type="dxa" w:w="1249"/>
            <w:vAlign w:val="center"/>
            <w:tcMar>
              <w:top w:w="70" w:type="dxa"/>
              <w:start w:w="90" w:type="dxa"/>
              <w:bottom w:w="70" w:type="dxa"/>
              <w:end w:w="90" w:type="dxa"/>
            </w:tcMar>
          </w:tcPr>
          <w:p>
            <w:pPr>
              <w:spacing w:after="0"/>
            </w:pPr>
            <w:r>
              <w:rPr>
                <w:sz w:val="14"/>
              </w:rPr>
              <w:t>40</w:t>
            </w:r>
          </w:p>
        </w:tc>
        <w:tc>
          <w:tcPr>
            <w:tcW w:type="dxa" w:w="1249"/>
            <w:vAlign w:val="center"/>
            <w:tcMar>
              <w:top w:w="70" w:type="dxa"/>
              <w:start w:w="90" w:type="dxa"/>
              <w:bottom w:w="70" w:type="dxa"/>
              <w:end w:w="90" w:type="dxa"/>
            </w:tcMar>
          </w:tcPr>
          <w:p>
            <w:pPr>
              <w:spacing w:after="0"/>
            </w:pPr>
            <w:r>
              <w:rPr>
                <w:sz w:val="14"/>
              </w:rPr>
              <w:t>7</w:t>
            </w:r>
          </w:p>
        </w:tc>
      </w:tr>
    </w:tbl>
    <w:p>
      <w:pPr>
        <w:spacing w:after="20"/>
      </w:pPr>
    </w:p>
    <w:p>
      <w:pPr>
        <w:pStyle w:val="Heading1"/>
      </w:pPr>
      <w:r>
        <w:t>Prioritized recommendations</w:t>
      </w:r>
    </w:p>
    <w:p>
      <w:pPr>
        <w:spacing w:after="60"/>
        <w:ind w:left="346" w:hanging="317"/>
      </w:pPr>
      <w:r>
        <w:t>1.  Immediately verify the upstream Ship Date field and clarify what those dates mean. Do not use order-to-ship elapsed time as a logistics performance score until corrected.</w:t>
      </w:r>
    </w:p>
    <w:p>
      <w:pPr>
        <w:spacing w:after="60"/>
        <w:ind w:left="346" w:hanging="317"/>
      </w:pPr>
      <w:r>
        <w:t>2.  Run a focused product review for Kazookles: validate cost calculation, supplier/manufacturing cost, discounts, and net realized price; only then decide on repricing or further action.</w:t>
      </w:r>
    </w:p>
    <w:p>
      <w:pPr>
        <w:spacing w:after="60"/>
        <w:ind w:left="346" w:hanging="317"/>
      </w:pPr>
      <w:r>
        <w:t>3.  Review pricing, cost structure, and discount history for Lickable Wallpaper and Wonka Gum; use contribution profit and demand information, not margin alone.</w:t>
      </w:r>
    </w:p>
    <w:p>
      <w:pPr>
        <w:spacing w:after="60"/>
        <w:ind w:left="346" w:hanging="317"/>
      </w:pPr>
      <w:r>
        <w:t>4.  Protect the top five Chocolate products with regular availability and margin monitoring; assess portfolio diversification as a resilience measure rather than assuming low-selling products will scale.</w:t>
      </w:r>
    </w:p>
    <w:p>
      <w:pPr>
        <w:spacing w:after="60"/>
        <w:ind w:left="346" w:hanging="317"/>
      </w:pPr>
      <w:r>
        <w:t>5.  Investigate Other division's product mix and high cost burden; establish a monthly weighted-margin and contribution dashboard by product.</w:t>
      </w:r>
    </w:p>
    <w:p>
      <w:pPr>
        <w:spacing w:after="60"/>
        <w:ind w:left="346" w:hanging="317"/>
      </w:pPr>
      <w:r>
        <w:t>6.  Validate the supplied product-factory mapping. Product name coverage is 15/15, but Fizzy Lifting Drinks has a division-label mismatch between the brief and the dataset.</w:t>
      </w:r>
    </w:p>
    <w:p>
      <w:pPr>
        <w:pStyle w:val="Heading1"/>
      </w:pPr>
      <w:r>
        <w:t>Data limitations and interpretation guardrails</w:t>
      </w:r>
    </w:p>
    <w:p>
      <w:pPr>
        <w:pStyle w:val="ListBullet"/>
        <w:spacing w:after="40"/>
      </w:pPr>
      <w:r>
        <w:t>All products show positive aggregate gross profit in this dataset; no product should be called loss-making from the provided financial records.</w:t>
      </w:r>
    </w:p>
    <w:p>
      <w:pPr>
        <w:pStyle w:val="ListBullet"/>
        <w:spacing w:after="40"/>
      </w:pPr>
      <w:r>
        <w:t>Gross margin is gross profit divided by sales, not full net profitability. Selling, distribution, overhead, discount, return, and demand-elasticity details are not supplied.</w:t>
      </w:r>
    </w:p>
    <w:p>
      <w:pPr>
        <w:pStyle w:val="ListBullet"/>
        <w:spacing w:after="40"/>
      </w:pPr>
      <w:r>
        <w:t>The supplied Order ID appears product-coded, so sales divided by distinct Order IDs is not treated as definitive basket-level average order value.</w:t>
      </w:r>
    </w:p>
    <w:p>
      <w:pPr>
        <w:pStyle w:val="ListBullet"/>
        <w:spacing w:after="40"/>
      </w:pPr>
      <w:r>
        <w:t>Factory summaries associate products with the brief's named factories; they do not measure factory operating efficiency, capacity, or actual shipment routes.</w:t>
      </w:r>
    </w:p>
    <w:p>
      <w:pPr>
        <w:pStyle w:val="ListBullet"/>
        <w:spacing w:after="40"/>
      </w:pPr>
      <w:r>
        <w:t>The project brief's final sentence about shipping route efficiency conflicts with the central product-profitability scope; this deliverable focuses on product economics.</w:t>
      </w:r>
    </w:p>
    <w:p>
      <w:pPr>
        <w:pStyle w:val="Heading1"/>
      </w:pPr>
      <w:r>
        <w:t>Bottom line</w:t>
      </w:r>
    </w:p>
    <w:p>
      <w:r>
        <w:t>The business generates a 65.91% weighted gross margin, but results are highly concentrated in five Chocolate products. The clearest near-term analytical action is to validate and investigate Kazookles' 7.69% margin and review the Other division's cost burden, while correcting shipment dates before expanding into logistics KPIs. Repricing and discontinuation decisions should wait for validated price, cost-component, and demand evidence.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8"/>
        <w:sz w:val="16"/>
      </w:rPr>
      <w:t xml:space="preserve">Executive Summary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8"/>
        <w:sz w:val="14"/>
      </w:rPr>
      <w:t>NASSAU CANDY DISTRIBUTOR  |  PRODUCT PROFITABILITY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E807A"/>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D9A4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