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cef1f2ce-47e6-4c2a-a28c-abb3aa3d5500</w:t>
      </w:r>
    </w:p>
    <w:p>
      <w:r>
        <w:t>Generated: 2026-08-24 17:15 UTC</w:t>
      </w:r>
    </w:p>
    <w:p>
      <w:r>
        <w:rPr>
          <w:b/>
        </w:rPr>
        <w:t>Overall Status: NON COMPLIANT</w:t>
      </w:r>
    </w:p>
    <w:p>
      <w:r>
        <w:t>Compliance Score: 16.2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Flipkart supermarket incense stick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 xml:space="preserve">flipkart 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household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ecommerce_listing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 Ref.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t>Name and address of manufacturer/packer/importer</w:t>
            </w:r>
          </w:p>
        </w:tc>
        <w:tc>
          <w:tcPr>
            <w:tcW w:type="dxa" w:w="1728"/>
          </w:tcPr>
          <w:p>
            <w:r>
              <w:t>Rule 6(1)(a)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'Name and address of manufacturer/packer/importer' was not detected on the label/listing.</w:t>
            </w:r>
          </w:p>
        </w:tc>
      </w:tr>
      <w:tr>
        <w:tc>
          <w:tcPr>
            <w:tcW w:type="dxa" w:w="1728"/>
          </w:tcPr>
          <w:p>
            <w:r>
              <w:t>Net quantity in standard units (weight/volume/number)</w:t>
            </w:r>
          </w:p>
        </w:tc>
        <w:tc>
          <w:tcPr>
            <w:tcW w:type="dxa" w:w="1728"/>
          </w:tcPr>
          <w:p>
            <w:r>
              <w:t>Rule 6(1)(c), Rule 8-11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'Net quantity in standard units (weight/volume/number)' was not detected on the label/listing.</w:t>
            </w:r>
          </w:p>
        </w:tc>
      </w:tr>
      <w:tr>
        <w:tc>
          <w:tcPr>
            <w:tcW w:type="dxa" w:w="1728"/>
          </w:tcPr>
          <w:p>
            <w:r>
              <w:t>Month and year of manufacture / packing / import</w:t>
            </w:r>
          </w:p>
        </w:tc>
        <w:tc>
          <w:tcPr>
            <w:tcW w:type="dxa" w:w="1728"/>
          </w:tcPr>
          <w:p>
            <w:r>
              <w:t>Rule 6(1)(e)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'Month and year of manufacture / packing / import' was not detected on the label/listing.</w:t>
            </w:r>
          </w:p>
        </w:tc>
      </w:tr>
      <w:tr>
        <w:tc>
          <w:tcPr>
            <w:tcW w:type="dxa" w:w="1728"/>
          </w:tcPr>
          <w:p>
            <w:r>
              <w:t>Maximum Retail Price (MRP), inclusive of all taxes</w:t>
            </w:r>
          </w:p>
        </w:tc>
        <w:tc>
          <w:tcPr>
            <w:tcW w:type="dxa" w:w="1728"/>
          </w:tcPr>
          <w:p>
            <w:r>
              <w:t>Rule 6(1)(f), Rule 18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'Maximum Retail Price (MRP), inclusive of all taxes' was not detected on the label/listing.</w:t>
            </w:r>
          </w:p>
        </w:tc>
      </w:tr>
      <w:tr>
        <w:tc>
          <w:tcPr>
            <w:tcW w:type="dxa" w:w="1728"/>
          </w:tcPr>
          <w:p>
            <w:r>
              <w:t>Unit sale price (price per standard unit)</w:t>
            </w:r>
          </w:p>
        </w:tc>
        <w:tc>
          <w:tcPr>
            <w:tcW w:type="dxa" w:w="1728"/>
          </w:tcPr>
          <w:p>
            <w:r>
              <w:t>Rule 6(1)(f)/6(11)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'Unit sale price (price per standard unit)' was not detected on the label/listing.</w:t>
            </w:r>
          </w:p>
        </w:tc>
      </w:tr>
      <w:tr>
        <w:tc>
          <w:tcPr>
            <w:tcW w:type="dxa" w:w="1728"/>
          </w:tcPr>
          <w:p>
            <w:r>
              <w:t>Consumer care / contact details (name, address, telephone/email)</w:t>
            </w:r>
          </w:p>
        </w:tc>
        <w:tc>
          <w:tcPr>
            <w:tcW w:type="dxa" w:w="1728"/>
          </w:tcPr>
          <w:p>
            <w:r>
              <w:t>Rule 6(1)(g)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'Consumer care / contact details (name, address, telephone/email)' was not detected on the label/listing.</w:t>
            </w:r>
          </w:p>
        </w:tc>
      </w:tr>
      <w:tr>
        <w:tc>
          <w:tcPr>
            <w:tcW w:type="dxa" w:w="1728"/>
          </w:tcPr>
          <w:p>
            <w:r>
              <w:t>Mandatory declarations on e-commerce listing (excl. month/year of mfg)</w:t>
            </w:r>
          </w:p>
        </w:tc>
        <w:tc>
          <w:tcPr>
            <w:tcW w:type="dxa" w:w="1728"/>
          </w:tcPr>
          <w:p>
            <w:r>
              <w:t>Rule 6(10)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E-commerce listing is missing linked declarations: MFR_NAME_ADDR, NET_QUANTITY, MRP, CONSUMER_CARE.</w:t>
            </w:r>
          </w:p>
        </w:tc>
      </w:tr>
    </w:tbl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