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 Transactions Analysis Project Report</w:t>
      </w:r>
    </w:p>
    <w:p>
      <w:r>
        <w:t>Generated automatically with Python.</w:t>
        <w:br/>
      </w:r>
    </w:p>
    <w:p>
      <w:pPr>
        <w:pStyle w:val="Heading1"/>
      </w:pPr>
      <w:r>
        <w:t>Introduction</w:t>
      </w:r>
    </w:p>
    <w:p>
      <w:r>
        <w:t>This project analyzes a dataset of daily household transactions. The objective is to clean the data, perform exploratory data analysis (EDA), identify spending and income trends, and provide key financial insights.</w:t>
      </w:r>
    </w:p>
    <w:p>
      <w:pPr>
        <w:pStyle w:val="Heading1"/>
      </w:pPr>
      <w:r>
        <w:t>Dataset Description</w:t>
      </w:r>
    </w:p>
    <w:p>
      <w:r>
        <w:t>The dataset contains the following fields:</w:t>
        <w:br/>
        <w:t>• Date: Date of transaction</w:t>
        <w:br/>
        <w:t>• Mode: Payment mode</w:t>
        <w:br/>
        <w:t>• Category &amp; Subcategory: Type of transaction</w:t>
        <w:br/>
        <w:t>• Note: Short description</w:t>
        <w:br/>
        <w:t>• Amount: Transaction amount</w:t>
        <w:br/>
        <w:t>• Income/Expense: Income or Expense</w:t>
        <w:br/>
        <w:t>• Currency: INR</w:t>
      </w:r>
    </w:p>
    <w:p>
      <w:pPr>
        <w:pStyle w:val="Heading1"/>
      </w:pPr>
      <w:r>
        <w:t>Summary Statistics</w:t>
      </w:r>
    </w:p>
    <w:p>
      <w:r>
        <w:t>Total Income: 3042397.35 INR</w:t>
      </w:r>
    </w:p>
    <w:p>
      <w:r>
        <w:t>Total Expense: 1955380.53 INR</w:t>
      </w:r>
    </w:p>
    <w:p>
      <w:r>
        <w:t>Net Savings: 1087016.82 INR</w:t>
      </w:r>
    </w:p>
    <w:p>
      <w:r>
        <w:br/>
        <w:t>Top 5 Expense Categories:</w:t>
      </w:r>
    </w:p>
    <w:p>
      <w:pPr>
        <w:pStyle w:val="ListBullet"/>
      </w:pPr>
      <w:r>
        <w:t>Money transfer: 606528.90 INR</w:t>
      </w:r>
    </w:p>
    <w:p>
      <w:pPr>
        <w:pStyle w:val="ListBullet"/>
      </w:pPr>
      <w:r>
        <w:t>Investment: 269858.00 INR</w:t>
      </w:r>
    </w:p>
    <w:p>
      <w:pPr>
        <w:pStyle w:val="ListBullet"/>
      </w:pPr>
      <w:r>
        <w:t>Transportation: 169053.78 INR</w:t>
      </w:r>
    </w:p>
    <w:p>
      <w:pPr>
        <w:pStyle w:val="ListBullet"/>
      </w:pPr>
      <w:r>
        <w:t>Household: 161645.58 INR</w:t>
      </w:r>
    </w:p>
    <w:p>
      <w:pPr>
        <w:pStyle w:val="ListBullet"/>
      </w:pPr>
      <w:r>
        <w:t>subscription: 114587.91 INR</w:t>
      </w:r>
    </w:p>
    <w:p>
      <w:r>
        <w:br/>
        <w:t>Top 5 Income Categories:</w:t>
      </w:r>
    </w:p>
    <w:p>
      <w:pPr>
        <w:pStyle w:val="ListBullet"/>
      </w:pPr>
      <w:r>
        <w:t>Salary: 2526576.45 INR</w:t>
      </w:r>
    </w:p>
    <w:p>
      <w:pPr>
        <w:pStyle w:val="ListBullet"/>
      </w:pPr>
      <w:r>
        <w:t>Maturity amount: 382792.00 INR</w:t>
      </w:r>
    </w:p>
    <w:p>
      <w:pPr>
        <w:pStyle w:val="ListBullet"/>
      </w:pPr>
      <w:r>
        <w:t>Other: 83442.00 INR</w:t>
      </w:r>
    </w:p>
    <w:p>
      <w:pPr>
        <w:pStyle w:val="ListBullet"/>
      </w:pPr>
      <w:r>
        <w:t>Tax refund: 26130.00 INR</w:t>
      </w:r>
    </w:p>
    <w:p>
      <w:pPr>
        <w:pStyle w:val="ListBullet"/>
      </w:pPr>
      <w:r>
        <w:t>Petty cash: 13170.00 INR</w:t>
      </w:r>
    </w:p>
    <w:p>
      <w:pPr>
        <w:pStyle w:val="Heading1"/>
      </w:pPr>
      <w:r>
        <w:t>Visualizations</w:t>
      </w:r>
    </w:p>
    <w:p>
      <w:r>
        <w:t>Dist</w:t>
      </w:r>
    </w:p>
    <w:p>
      <w:r>
        <w:drawing>
          <wp:inline xmlns:a="http://schemas.openxmlformats.org/drawingml/2006/main" xmlns:pic="http://schemas.openxmlformats.org/drawingml/2006/picture">
            <wp:extent cx="5029200" cy="3592286"/>
            <wp:docPr id="1" name="Picture 1"/>
            <wp:cNvGraphicFramePr>
              <a:graphicFrameLocks noChangeAspect="1"/>
            </wp:cNvGraphicFramePr>
            <a:graphic>
              <a:graphicData uri="http://schemas.openxmlformats.org/drawingml/2006/picture">
                <pic:pic>
                  <pic:nvPicPr>
                    <pic:cNvPr id="0" name="dist.png"/>
                    <pic:cNvPicPr/>
                  </pic:nvPicPr>
                  <pic:blipFill>
                    <a:blip r:embed="rId9"/>
                    <a:stretch>
                      <a:fillRect/>
                    </a:stretch>
                  </pic:blipFill>
                  <pic:spPr>
                    <a:xfrm>
                      <a:off x="0" y="0"/>
                      <a:ext cx="5029200" cy="3592286"/>
                    </a:xfrm>
                    <a:prstGeom prst="rect"/>
                  </pic:spPr>
                </pic:pic>
              </a:graphicData>
            </a:graphic>
          </wp:inline>
        </w:drawing>
      </w:r>
    </w:p>
    <w:p>
      <w:r>
        <w:t>Cat</w:t>
      </w:r>
    </w:p>
    <w:p>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cat.png"/>
                    <pic:cNvPicPr/>
                  </pic:nvPicPr>
                  <pic:blipFill>
                    <a:blip r:embed="rId10"/>
                    <a:stretch>
                      <a:fillRect/>
                    </a:stretch>
                  </pic:blipFill>
                  <pic:spPr>
                    <a:xfrm>
                      <a:off x="0" y="0"/>
                      <a:ext cx="5029200" cy="3143250"/>
                    </a:xfrm>
                    <a:prstGeom prst="rect"/>
                  </pic:spPr>
                </pic:pic>
              </a:graphicData>
            </a:graphic>
          </wp:inline>
        </w:drawing>
      </w:r>
    </w:p>
    <w:p>
      <w:r>
        <w:t>Inex</w:t>
      </w:r>
    </w:p>
    <w:p>
      <w:r>
        <w:drawing>
          <wp:inline xmlns:a="http://schemas.openxmlformats.org/drawingml/2006/main" xmlns:pic="http://schemas.openxmlformats.org/drawingml/2006/picture">
            <wp:extent cx="5029200" cy="4023360"/>
            <wp:docPr id="3" name="Picture 3"/>
            <wp:cNvGraphicFramePr>
              <a:graphicFrameLocks noChangeAspect="1"/>
            </wp:cNvGraphicFramePr>
            <a:graphic>
              <a:graphicData uri="http://schemas.openxmlformats.org/drawingml/2006/picture">
                <pic:pic>
                  <pic:nvPicPr>
                    <pic:cNvPr id="0" name="inex.png"/>
                    <pic:cNvPicPr/>
                  </pic:nvPicPr>
                  <pic:blipFill>
                    <a:blip r:embed="rId11"/>
                    <a:stretch>
                      <a:fillRect/>
                    </a:stretch>
                  </pic:blipFill>
                  <pic:spPr>
                    <a:xfrm>
                      <a:off x="0" y="0"/>
                      <a:ext cx="5029200" cy="4023360"/>
                    </a:xfrm>
                    <a:prstGeom prst="rect"/>
                  </pic:spPr>
                </pic:pic>
              </a:graphicData>
            </a:graphic>
          </wp:inline>
        </w:drawing>
      </w:r>
    </w:p>
    <w:p>
      <w:r>
        <w:t>Monthly</w:t>
      </w:r>
    </w:p>
    <w:p>
      <w:r>
        <w:drawing>
          <wp:inline xmlns:a="http://schemas.openxmlformats.org/drawingml/2006/main" xmlns:pic="http://schemas.openxmlformats.org/drawingml/2006/picture">
            <wp:extent cx="5029200" cy="3143250"/>
            <wp:docPr id="4" name="Picture 4"/>
            <wp:cNvGraphicFramePr>
              <a:graphicFrameLocks noChangeAspect="1"/>
            </wp:cNvGraphicFramePr>
            <a:graphic>
              <a:graphicData uri="http://schemas.openxmlformats.org/drawingml/2006/picture">
                <pic:pic>
                  <pic:nvPicPr>
                    <pic:cNvPr id="0" name="monthly.png"/>
                    <pic:cNvPicPr/>
                  </pic:nvPicPr>
                  <pic:blipFill>
                    <a:blip r:embed="rId12"/>
                    <a:stretch>
                      <a:fillRect/>
                    </a:stretch>
                  </pic:blipFill>
                  <pic:spPr>
                    <a:xfrm>
                      <a:off x="0" y="0"/>
                      <a:ext cx="5029200" cy="3143250"/>
                    </a:xfrm>
                    <a:prstGeom prst="rect"/>
                  </pic:spPr>
                </pic:pic>
              </a:graphicData>
            </a:graphic>
          </wp:inline>
        </w:drawing>
      </w:r>
    </w:p>
    <w:p>
      <w:r>
        <w:t>Daily</w:t>
      </w:r>
    </w:p>
    <w:p>
      <w:r>
        <w:drawing>
          <wp:inline xmlns:a="http://schemas.openxmlformats.org/drawingml/2006/main" xmlns:pic="http://schemas.openxmlformats.org/drawingml/2006/picture">
            <wp:extent cx="5029200" cy="3143250"/>
            <wp:docPr id="5" name="Picture 5"/>
            <wp:cNvGraphicFramePr>
              <a:graphicFrameLocks noChangeAspect="1"/>
            </wp:cNvGraphicFramePr>
            <a:graphic>
              <a:graphicData uri="http://schemas.openxmlformats.org/drawingml/2006/picture">
                <pic:pic>
                  <pic:nvPicPr>
                    <pic:cNvPr id="0" name="daily.png"/>
                    <pic:cNvPicPr/>
                  </pic:nvPicPr>
                  <pic:blipFill>
                    <a:blip r:embed="rId13"/>
                    <a:stretch>
                      <a:fillRect/>
                    </a:stretch>
                  </pic:blipFill>
                  <pic:spPr>
                    <a:xfrm>
                      <a:off x="0" y="0"/>
                      <a:ext cx="5029200" cy="3143250"/>
                    </a:xfrm>
                    <a:prstGeom prst="rect"/>
                  </pic:spPr>
                </pic:pic>
              </a:graphicData>
            </a:graphic>
          </wp:inline>
        </w:drawing>
      </w:r>
    </w:p>
    <w:p>
      <w:r>
        <w:t>Heatmap</w:t>
      </w:r>
    </w:p>
    <w:p>
      <w:r>
        <w:drawing>
          <wp:inline xmlns:a="http://schemas.openxmlformats.org/drawingml/2006/main" xmlns:pic="http://schemas.openxmlformats.org/drawingml/2006/picture">
            <wp:extent cx="5029200" cy="3771900"/>
            <wp:docPr id="6" name="Picture 6"/>
            <wp:cNvGraphicFramePr>
              <a:graphicFrameLocks noChangeAspect="1"/>
            </wp:cNvGraphicFramePr>
            <a:graphic>
              <a:graphicData uri="http://schemas.openxmlformats.org/drawingml/2006/picture">
                <pic:pic>
                  <pic:nvPicPr>
                    <pic:cNvPr id="0" name="heatmap.png"/>
                    <pic:cNvPicPr/>
                  </pic:nvPicPr>
                  <pic:blipFill>
                    <a:blip r:embed="rId14"/>
                    <a:stretch>
                      <a:fillRect/>
                    </a:stretch>
                  </pic:blipFill>
                  <pic:spPr>
                    <a:xfrm>
                      <a:off x="0" y="0"/>
                      <a:ext cx="5029200" cy="3771900"/>
                    </a:xfrm>
                    <a:prstGeom prst="rect"/>
                  </pic:spPr>
                </pic:pic>
              </a:graphicData>
            </a:graphic>
          </wp:inline>
        </w:drawing>
      </w:r>
    </w:p>
    <w:p>
      <w:pPr>
        <w:pStyle w:val="Heading1"/>
      </w:pPr>
      <w:r>
        <w:t>Key Insights</w:t>
      </w:r>
    </w:p>
    <w:p>
      <w:r>
        <w:t>• Transaction amounts are right-skewed, with many small transactions and few large ones.</w:t>
      </w:r>
    </w:p>
    <w:p>
      <w:r>
        <w:t>• Food and Transportation are among the top spending categories.</w:t>
      </w:r>
    </w:p>
    <w:p>
      <w:r>
        <w:t>• Income transactions are fewer but higher in value compared to expenses.</w:t>
      </w:r>
    </w:p>
    <w:p>
      <w:r>
        <w:t>• Seasonal peaks are visible in monthly expenses.</w:t>
      </w:r>
    </w:p>
    <w:p>
      <w:r>
        <w:t>• Correlation heatmap shows strong relationships between certain categories.</w:t>
      </w:r>
    </w:p>
    <w:p>
      <w:pPr>
        <w:pStyle w:val="Heading1"/>
      </w:pPr>
      <w:r>
        <w:t>Conclusion</w:t>
      </w:r>
    </w:p>
    <w:p>
      <w:r>
        <w:t>This project demonstrates how financial transaction data can be analyzed to gain insights into spending behavior, income sources, and savings. These insights can help in better budgeting, forecasting, and financial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