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25B70"/>
          <w:sz w:val="32"/>
        </w:rPr>
        <w:t>WARRANTIFI</w:t>
      </w:r>
    </w:p>
    <w:p>
      <w:pPr>
        <w:pStyle w:val="Title"/>
        <w:jc w:val="center"/>
      </w:pPr>
      <w:r>
        <w:t>Product &amp; Development Brief</w:t>
      </w:r>
    </w:p>
    <w:p>
      <w:pPr>
        <w:jc w:val="center"/>
      </w:pPr>
      <w:r>
        <w:rPr>
          <w:color w:val="5C6A77"/>
          <w:sz w:val="24"/>
        </w:rPr>
        <w:t>Concept • MVP • AI roadmap • Technical architecture • Development plan</w:t>
      </w:r>
    </w:p>
    <w:p/>
    <w:tbl>
      <w:tblPr>
        <w:tblW w:type="auto" w:w="0"/>
        <w:tblLook w:firstColumn="1" w:firstRow="1" w:lastColumn="0" w:lastRow="0" w:noHBand="0" w:noVBand="1" w:val="04A0"/>
      </w:tblPr>
      <w:tblGrid>
        <w:gridCol w:w="9936"/>
      </w:tblGrid>
      <w:tr>
        <w:tc>
          <w:tcPr>
            <w:tcW w:type="dxa" w:w="9936"/>
            <w:shd w:fill="EAF2F5"/>
          </w:tcPr>
          <w:p>
            <w:pPr>
              <w:spacing w:after="60"/>
            </w:pPr>
            <w:r/>
            <w:r>
              <w:rPr>
                <w:b/>
                <w:color w:val="16364D"/>
                <w:sz w:val="20"/>
              </w:rPr>
              <w:t>Product vision</w:t>
              <w:br/>
            </w:r>
            <w:r>
              <w:rPr>
                <w:sz w:val="18"/>
              </w:rPr>
              <w:t>A premium, AI-powered ownership vault that helps everyday consumers in India organise products, invoices, warranty details and support information—starting with a reliable tracker and adding intelligence in stages.</w:t>
            </w:r>
          </w:p>
        </w:tc>
      </w:tr>
    </w:tbl>
    <w:p/>
    <w:p>
      <w:pPr>
        <w:jc w:val="center"/>
      </w:pPr>
      <w:r>
        <w:rPr>
          <w:i/>
          <w:color w:val="5C6A77"/>
        </w:rPr>
        <w:t>Working name: Warrantifi</w:t>
      </w:r>
    </w:p>
    <w:p>
      <w:r>
        <w:br w:type="page"/>
      </w:r>
    </w:p>
    <w:p>
      <w:pPr>
        <w:pStyle w:val="Heading1"/>
      </w:pPr>
      <w:r>
        <w:t>1. Executive summary</w:t>
      </w:r>
    </w:p>
    <w:p>
      <w:r>
        <w:t>Warrantifi is planned as a consumer-first warranty and product ownership app. The initial product should make it easy to add owned products, store invoices and warranty documents, see coverage dates, and receive reminders. AI will be introduced after the core tracker is useful and dependable.</w:t>
      </w:r>
    </w:p>
    <w:p>
      <w:pPr>
        <w:pStyle w:val="ListBullet"/>
        <w:spacing w:after="40"/>
      </w:pPr>
      <w:r>
        <w:t>Initial target: everyday consumers, with an India-first perspective.</w:t>
      </w:r>
    </w:p>
    <w:p>
      <w:pPr>
        <w:pStyle w:val="ListBullet"/>
        <w:spacing w:after="40"/>
      </w:pPr>
      <w:r>
        <w:t>Initial scope: product inventory, warranty tracking, document storage, expiry visibility and reminders.</w:t>
      </w:r>
    </w:p>
    <w:p>
      <w:pPr>
        <w:pStyle w:val="ListBullet"/>
        <w:spacing w:after="40"/>
      </w:pPr>
      <w:r>
        <w:t>Next layer: invoice text detection and AI-assisted extraction, followed by chat and insights grounded in saved user data.</w:t>
      </w:r>
    </w:p>
    <w:p>
      <w:pPr>
        <w:pStyle w:val="ListBullet"/>
        <w:spacing w:after="40"/>
      </w:pPr>
      <w:r>
        <w:t>Later layer: product troubleshooting/diagnostics, maintenance guidance and verified manufacturer support contacts.</w:t>
      </w:r>
    </w:p>
    <w:p>
      <w:pPr>
        <w:pStyle w:val="ListBullet"/>
        <w:spacing w:after="40"/>
      </w:pPr>
      <w:r>
        <w:t>Explicit non-goal for the initial product: automatically submitting warranty claims or attempting to automate the Indian claims ecosystem.</w:t>
      </w:r>
    </w:p>
    <w:p>
      <w:pPr>
        <w:pStyle w:val="ListBullet"/>
        <w:spacing w:after="40"/>
      </w:pPr>
      <w:r>
        <w:t>Development approach: build locally on the Steam Deck, validate the experience, then deploy selected components to Google Cloud.</w:t>
      </w:r>
    </w:p>
    <w:tbl>
      <w:tblPr>
        <w:tblW w:type="auto" w:w="0"/>
        <w:tblLook w:firstColumn="1" w:firstRow="1" w:lastColumn="0" w:lastRow="0" w:noHBand="0" w:noVBand="1" w:val="04A0"/>
      </w:tblPr>
      <w:tblGrid>
        <w:gridCol w:w="9936"/>
      </w:tblGrid>
      <w:tr>
        <w:tc>
          <w:tcPr>
            <w:tcW w:type="dxa" w:w="9936"/>
            <w:shd w:fill="EAF2F5"/>
          </w:tcPr>
          <w:p>
            <w:pPr>
              <w:spacing w:after="60"/>
            </w:pPr>
            <w:r/>
            <w:r>
              <w:rPr>
                <w:b/>
                <w:color w:val="16364D"/>
                <w:sz w:val="20"/>
              </w:rPr>
              <w:t>Core principle</w:t>
              <w:br/>
            </w:r>
            <w:r>
              <w:rPr>
                <w:sz w:val="18"/>
              </w:rPr>
              <w:t>Make the tracker genuinely useful without AI. Add AI where it saves users time, explains their own documents or helps them understand their products.</w:t>
            </w:r>
          </w:p>
        </w:tc>
      </w:tr>
    </w:tbl>
    <w:p/>
    <w:p>
      <w:pPr>
        <w:pStyle w:val="Heading1"/>
      </w:pPr>
      <w:r>
        <w:t>2. Problem and product positioning</w:t>
      </w:r>
    </w:p>
    <w:p>
      <w:r>
        <w:t>People often struggle to find purchase invoices, remember warranty end dates, locate manuals and identify the correct manufacturer support channel. Warrantifi aims to bring those records together in one accessible place.</w:t>
      </w:r>
    </w:p>
    <w:p>
      <w:pPr>
        <w:pStyle w:val="Heading2"/>
      </w:pPr>
      <w:r>
        <w:t>Positioning statement</w:t>
      </w:r>
    </w:p>
    <w:p>
      <w:r>
        <w:t>“Everything you own, under control.”</w:t>
      </w:r>
    </w:p>
    <w:p>
      <w:r>
        <w:t>Alternative tagline explored: “Everything you own. One smart place.”</w:t>
      </w:r>
    </w:p>
    <w:p>
      <w:pPr>
        <w:pStyle w:val="Heading2"/>
      </w:pPr>
      <w:r>
        <w:t>Product principles</w:t>
      </w:r>
    </w:p>
    <w:p>
      <w:pPr>
        <w:pStyle w:val="ListBullet"/>
        <w:spacing w:after="40"/>
      </w:pPr>
      <w:r>
        <w:t>Consumer-friendly and visually polished rather than enterprise-like.</w:t>
      </w:r>
    </w:p>
    <w:p>
      <w:pPr>
        <w:pStyle w:val="ListBullet"/>
        <w:spacing w:after="40"/>
      </w:pPr>
      <w:r>
        <w:t>Trustworthy: uncertain dates and unverified information must be clearly marked.</w:t>
      </w:r>
    </w:p>
    <w:p>
      <w:pPr>
        <w:pStyle w:val="ListBullet"/>
        <w:spacing w:after="40"/>
      </w:pPr>
      <w:r>
        <w:t>AI-assisted, not AI-dependent: core tracking works without model calls.</w:t>
      </w:r>
    </w:p>
    <w:p>
      <w:pPr>
        <w:pStyle w:val="ListBullet"/>
        <w:spacing w:after="40"/>
      </w:pPr>
      <w:r>
        <w:t>India-aware: support and warranty workflows should reflect local brands and realities.</w:t>
      </w:r>
    </w:p>
    <w:p>
      <w:pPr>
        <w:pStyle w:val="ListBullet"/>
        <w:spacing w:after="40"/>
      </w:pPr>
      <w:r>
        <w:t>Privacy-first: invoices and product records are personal data and must be isolated per user.</w:t>
      </w:r>
    </w:p>
    <w:p>
      <w:pPr>
        <w:pStyle w:val="ListBullet"/>
        <w:spacing w:after="40"/>
      </w:pPr>
      <w:r>
        <w:t>Build incrementally; avoid premature infrastructure and paid services.</w:t>
      </w:r>
    </w:p>
    <w:p>
      <w:pPr>
        <w:pStyle w:val="Heading1"/>
      </w:pPr>
      <w:r>
        <w:t>3. Market and competition notes</w:t>
      </w:r>
    </w:p>
    <w:p>
      <w:r>
        <w:t>The warranty-tracking category already has competitors. The discussion identified products such as WarrON, WarrantyVault, AI Warranty Wallet, CoverKeep, Value Guard, Itemtopia, WarrantyDesk, Warranty &amp; Care, WarrantyTrackr, Keept, Wrnty, Warran and Safeguard AI. Their current features, availability and positioning should be rechecked during formal competitor research.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64D"/>
          </w:tcPr>
          <w:p>
            <w:pPr>
              <w:spacing w:after="20"/>
            </w:pPr>
            <w:r/>
            <w:r>
              <w:rPr>
                <w:rFonts w:ascii="Aptos" w:hAnsi="Aptos"/>
                <w:b/>
                <w:color w:val="FFFFFF"/>
                <w:sz w:val="18"/>
              </w:rPr>
              <w:t>Competitor</w:t>
            </w:r>
          </w:p>
        </w:tc>
        <w:tc>
          <w:tcPr>
            <w:tcW w:type="dxa" w:w="3312"/>
            <w:vAlign w:val="center"/>
            <w:shd w:fill="16364D"/>
          </w:tcPr>
          <w:p>
            <w:pPr>
              <w:spacing w:after="20"/>
            </w:pPr>
            <w:r/>
            <w:r>
              <w:rPr>
                <w:rFonts w:ascii="Aptos" w:hAnsi="Aptos"/>
                <w:b/>
                <w:color w:val="FFFFFF"/>
                <w:sz w:val="18"/>
              </w:rPr>
              <w:t>Observed/reported positioning from initial desk research</w:t>
            </w:r>
          </w:p>
        </w:tc>
        <w:tc>
          <w:tcPr>
            <w:tcW w:type="dxa" w:w="3312"/>
            <w:vAlign w:val="center"/>
            <w:shd w:fill="16364D"/>
          </w:tcPr>
          <w:p>
            <w:pPr>
              <w:spacing w:after="20"/>
            </w:pPr>
            <w:r/>
            <w:r>
              <w:rPr>
                <w:rFonts w:ascii="Aptos" w:hAnsi="Aptos"/>
                <w:b/>
                <w:color w:val="FFFFFF"/>
                <w:sz w:val="18"/>
              </w:rPr>
              <w:t>Research follow-up</w:t>
            </w:r>
          </w:p>
        </w:tc>
      </w:tr>
      <w:tr>
        <w:tc>
          <w:tcPr>
            <w:tcW w:type="dxa" w:w="3312"/>
            <w:vAlign w:val="center"/>
          </w:tcPr>
          <w:p>
            <w:pPr>
              <w:spacing w:after="20"/>
            </w:pPr>
            <w:r/>
            <w:r>
              <w:rPr>
                <w:rFonts w:ascii="Aptos" w:hAnsi="Aptos"/>
                <w:b w:val="0"/>
                <w:sz w:val="18"/>
              </w:rPr>
              <w:t>WarrON</w:t>
            </w:r>
          </w:p>
        </w:tc>
        <w:tc>
          <w:tcPr>
            <w:tcW w:type="dxa" w:w="3312"/>
            <w:vAlign w:val="center"/>
          </w:tcPr>
          <w:p>
            <w:pPr>
              <w:spacing w:after="20"/>
            </w:pPr>
            <w:r/>
            <w:r>
              <w:rPr>
                <w:rFonts w:ascii="Aptos" w:hAnsi="Aptos"/>
                <w:b w:val="0"/>
                <w:sz w:val="18"/>
              </w:rPr>
              <w:t>India-focused bills/receipts, reminders and claim tracking</w:t>
            </w:r>
          </w:p>
        </w:tc>
        <w:tc>
          <w:tcPr>
            <w:tcW w:type="dxa" w:w="3312"/>
            <w:vAlign w:val="center"/>
          </w:tcPr>
          <w:p>
            <w:pPr>
              <w:spacing w:after="20"/>
            </w:pPr>
            <w:r/>
            <w:r>
              <w:rPr>
                <w:rFonts w:ascii="Aptos" w:hAnsi="Aptos"/>
                <w:b w:val="0"/>
                <w:sz w:val="18"/>
              </w:rPr>
              <w:t>Inspect public workflows and user reviews.</w:t>
            </w:r>
          </w:p>
        </w:tc>
      </w:tr>
      <w:tr>
        <w:tc>
          <w:tcPr>
            <w:tcW w:type="dxa" w:w="3312"/>
            <w:vAlign w:val="center"/>
            <w:shd w:fill="F1F5F7"/>
          </w:tcPr>
          <w:p>
            <w:pPr>
              <w:spacing w:after="20"/>
            </w:pPr>
            <w:r/>
            <w:r>
              <w:rPr>
                <w:rFonts w:ascii="Aptos" w:hAnsi="Aptos"/>
                <w:b w:val="0"/>
                <w:sz w:val="18"/>
              </w:rPr>
              <w:t>WarrantyVault</w:t>
            </w:r>
          </w:p>
        </w:tc>
        <w:tc>
          <w:tcPr>
            <w:tcW w:type="dxa" w:w="3312"/>
            <w:vAlign w:val="center"/>
            <w:shd w:fill="F1F5F7"/>
          </w:tcPr>
          <w:p>
            <w:pPr>
              <w:spacing w:after="20"/>
            </w:pPr>
            <w:r/>
            <w:r>
              <w:rPr>
                <w:rFonts w:ascii="Aptos" w:hAnsi="Aptos"/>
                <w:b w:val="0"/>
                <w:sz w:val="18"/>
              </w:rPr>
              <w:t>Receipt scanning, extracted details and expiry reminders</w:t>
            </w:r>
          </w:p>
        </w:tc>
        <w:tc>
          <w:tcPr>
            <w:tcW w:type="dxa" w:w="3312"/>
            <w:vAlign w:val="center"/>
            <w:shd w:fill="F1F5F7"/>
          </w:tcPr>
          <w:p>
            <w:pPr>
              <w:spacing w:after="20"/>
            </w:pPr>
            <w:r/>
            <w:r>
              <w:rPr>
                <w:rFonts w:ascii="Aptos" w:hAnsi="Aptos"/>
                <w:b w:val="0"/>
                <w:sz w:val="18"/>
              </w:rPr>
              <w:t>Test capture flow, reliability and pricing.</w:t>
            </w:r>
          </w:p>
        </w:tc>
      </w:tr>
      <w:tr>
        <w:tc>
          <w:tcPr>
            <w:tcW w:type="dxa" w:w="3312"/>
            <w:vAlign w:val="center"/>
          </w:tcPr>
          <w:p>
            <w:pPr>
              <w:spacing w:after="20"/>
            </w:pPr>
            <w:r/>
            <w:r>
              <w:rPr>
                <w:rFonts w:ascii="Aptos" w:hAnsi="Aptos"/>
                <w:b w:val="0"/>
                <w:sz w:val="18"/>
              </w:rPr>
              <w:t>AI Warranty Wallet</w:t>
            </w:r>
          </w:p>
        </w:tc>
        <w:tc>
          <w:tcPr>
            <w:tcW w:type="dxa" w:w="3312"/>
            <w:vAlign w:val="center"/>
          </w:tcPr>
          <w:p>
            <w:pPr>
              <w:spacing w:after="20"/>
            </w:pPr>
            <w:r/>
            <w:r>
              <w:rPr>
                <w:rFonts w:ascii="Aptos" w:hAnsi="Aptos"/>
                <w:b w:val="0"/>
                <w:sz w:val="18"/>
              </w:rPr>
              <w:t>AI receipt scanning, reminders and claim-letter generation</w:t>
            </w:r>
          </w:p>
        </w:tc>
        <w:tc>
          <w:tcPr>
            <w:tcW w:type="dxa" w:w="3312"/>
            <w:vAlign w:val="center"/>
          </w:tcPr>
          <w:p>
            <w:pPr>
              <w:spacing w:after="20"/>
            </w:pPr>
            <w:r/>
            <w:r>
              <w:rPr>
                <w:rFonts w:ascii="Aptos" w:hAnsi="Aptos"/>
                <w:b w:val="0"/>
                <w:sz w:val="18"/>
              </w:rPr>
              <w:t>Review supported regions, data handling and UX.</w:t>
            </w:r>
          </w:p>
        </w:tc>
      </w:tr>
      <w:tr>
        <w:tc>
          <w:tcPr>
            <w:tcW w:type="dxa" w:w="3312"/>
            <w:vAlign w:val="center"/>
            <w:shd w:fill="F1F5F7"/>
          </w:tcPr>
          <w:p>
            <w:pPr>
              <w:spacing w:after="20"/>
            </w:pPr>
            <w:r/>
            <w:r>
              <w:rPr>
                <w:rFonts w:ascii="Aptos" w:hAnsi="Aptos"/>
                <w:b w:val="0"/>
                <w:sz w:val="18"/>
              </w:rPr>
              <w:t>CoverKeep</w:t>
            </w:r>
          </w:p>
        </w:tc>
        <w:tc>
          <w:tcPr>
            <w:tcW w:type="dxa" w:w="3312"/>
            <w:vAlign w:val="center"/>
            <w:shd w:fill="F1F5F7"/>
          </w:tcPr>
          <w:p>
            <w:pPr>
              <w:spacing w:after="20"/>
            </w:pPr>
            <w:r/>
            <w:r>
              <w:rPr>
                <w:rFonts w:ascii="Aptos" w:hAnsi="Aptos"/>
                <w:b w:val="0"/>
                <w:sz w:val="18"/>
              </w:rPr>
              <w:t>AI warranty tracking, claim email drafting and coverage-related features</w:t>
            </w:r>
          </w:p>
        </w:tc>
        <w:tc>
          <w:tcPr>
            <w:tcW w:type="dxa" w:w="3312"/>
            <w:vAlign w:val="center"/>
            <w:shd w:fill="F1F5F7"/>
          </w:tcPr>
          <w:p>
            <w:pPr>
              <w:spacing w:after="20"/>
            </w:pPr>
            <w:r/>
            <w:r>
              <w:rPr>
                <w:rFonts w:ascii="Aptos" w:hAnsi="Aptos"/>
                <w:b w:val="0"/>
                <w:sz w:val="18"/>
              </w:rPr>
              <w:t>Verify live feature set and customer feedback.</w:t>
            </w:r>
          </w:p>
        </w:tc>
      </w:tr>
      <w:tr>
        <w:tc>
          <w:tcPr>
            <w:tcW w:type="dxa" w:w="3312"/>
            <w:vAlign w:val="center"/>
          </w:tcPr>
          <w:p>
            <w:pPr>
              <w:spacing w:after="20"/>
            </w:pPr>
            <w:r/>
            <w:r>
              <w:rPr>
                <w:rFonts w:ascii="Aptos" w:hAnsi="Aptos"/>
                <w:b w:val="0"/>
                <w:sz w:val="18"/>
              </w:rPr>
              <w:t>Itemtopia</w:t>
            </w:r>
          </w:p>
        </w:tc>
        <w:tc>
          <w:tcPr>
            <w:tcW w:type="dxa" w:w="3312"/>
            <w:vAlign w:val="center"/>
          </w:tcPr>
          <w:p>
            <w:pPr>
              <w:spacing w:after="20"/>
            </w:pPr>
            <w:r/>
            <w:r>
              <w:rPr>
                <w:rFonts w:ascii="Aptos" w:hAnsi="Aptos"/>
                <w:b w:val="0"/>
                <w:sz w:val="18"/>
              </w:rPr>
              <w:t>Home inventory, documents, warranties and sharing</w:t>
            </w:r>
          </w:p>
        </w:tc>
        <w:tc>
          <w:tcPr>
            <w:tcW w:type="dxa" w:w="3312"/>
            <w:vAlign w:val="center"/>
          </w:tcPr>
          <w:p>
            <w:pPr>
              <w:spacing w:after="20"/>
            </w:pPr>
            <w:r/>
            <w:r>
              <w:rPr>
                <w:rFonts w:ascii="Aptos" w:hAnsi="Aptos"/>
                <w:b w:val="0"/>
                <w:sz w:val="18"/>
              </w:rPr>
              <w:t>Compare broader inventory and household use cases.</w:t>
            </w:r>
          </w:p>
        </w:tc>
      </w:tr>
    </w:tbl>
    <w:p/>
    <w:tbl>
      <w:tblPr>
        <w:tblW w:type="auto" w:w="0"/>
        <w:tblLook w:firstColumn="1" w:firstRow="1" w:lastColumn="0" w:lastRow="0" w:noHBand="0" w:noVBand="1" w:val="04A0"/>
      </w:tblPr>
      <w:tblGrid>
        <w:gridCol w:w="9936"/>
      </w:tblGrid>
      <w:tr>
        <w:tc>
          <w:tcPr>
            <w:tcW w:type="dxa" w:w="9936"/>
            <w:shd w:fill="EAF2F5"/>
          </w:tcPr>
          <w:p>
            <w:pPr>
              <w:spacing w:after="60"/>
            </w:pPr>
            <w:r/>
            <w:r>
              <w:rPr>
                <w:b/>
                <w:color w:val="16364D"/>
                <w:sz w:val="20"/>
              </w:rPr>
              <w:t>Competitive conclusion</w:t>
              <w:br/>
            </w:r>
            <w:r>
              <w:rPr>
                <w:sz w:val="18"/>
              </w:rPr>
              <w:t>Do not build just another basic tracker. Differentiate through an excellent visual product vault, dependable document extraction, transparent source/uncertainty handling, grounded AI chat and useful product-support information. These are hypotheses to validate—not proven market gaps.</w:t>
            </w:r>
          </w:p>
        </w:tc>
      </w:tr>
    </w:tbl>
    <w:p/>
    <w:p>
      <w:pPr>
        <w:pStyle w:val="Heading1"/>
      </w:pPr>
      <w:r>
        <w:t>4. Target users and core jobs</w:t>
      </w:r>
    </w:p>
    <w:p>
      <w:pPr>
        <w:pStyle w:val="ListBullet"/>
        <w:spacing w:after="40"/>
      </w:pPr>
      <w:r>
        <w:t>A consumer who wants to keep receipts and warranty information for phones, laptops, TVs and home appliances.</w:t>
      </w:r>
    </w:p>
    <w:p>
      <w:pPr>
        <w:pStyle w:val="ListBullet"/>
        <w:spacing w:after="40"/>
      </w:pPr>
      <w:r>
        <w:t>A household that wants a shared or organised inventory of purchased products.</w:t>
      </w:r>
    </w:p>
    <w:p>
      <w:pPr>
        <w:pStyle w:val="ListBullet"/>
        <w:spacing w:after="40"/>
      </w:pPr>
      <w:r>
        <w:t>A user who has a receipt but does not want to type every field manually.</w:t>
      </w:r>
    </w:p>
    <w:p>
      <w:pPr>
        <w:pStyle w:val="ListBullet"/>
        <w:spacing w:after="40"/>
      </w:pPr>
      <w:r>
        <w:t>A user who wants to know which warranties are expiring, where a product's manual is, or how to contact official support.</w:t>
      </w:r>
    </w:p>
    <w:p>
      <w:pPr>
        <w:pStyle w:val="ListBullet"/>
        <w:spacing w:after="40"/>
      </w:pPr>
      <w:r>
        <w:t>A user who wants to ask questions about their own product records and documents.</w:t>
      </w:r>
    </w:p>
    <w:p>
      <w:pPr>
        <w:pStyle w:val="Heading1"/>
      </w:pPr>
      <w:r>
        <w:t>5. Scope and feature roadmap</w:t>
      </w:r>
    </w:p>
    <w:p>
      <w:pPr>
        <w:pStyle w:val="Heading2"/>
      </w:pPr>
      <w:r>
        <w:t>Phase 1 — Tracker MVP</w:t>
      </w:r>
    </w:p>
    <w:p>
      <w:pPr>
        <w:pStyle w:val="ListBullet"/>
        <w:spacing w:after="40"/>
      </w:pPr>
      <w:r>
        <w:t>Add, edit and delete products.</w:t>
      </w:r>
    </w:p>
    <w:p>
      <w:pPr>
        <w:pStyle w:val="ListBullet"/>
        <w:spacing w:after="40"/>
      </w:pPr>
      <w:r>
        <w:t>Product categories and distinctive icons: phones, laptops, TVs, appliances and other household items.</w:t>
      </w:r>
    </w:p>
    <w:p>
      <w:pPr>
        <w:pStyle w:val="ListBullet"/>
        <w:spacing w:after="40"/>
      </w:pPr>
      <w:r>
        <w:t>Fields: product name, brand, model, serial number where relevant, merchant, purchase date, purchase price, warranty start/end dates and notes.</w:t>
      </w:r>
    </w:p>
    <w:p>
      <w:pPr>
        <w:pStyle w:val="ListBullet"/>
        <w:spacing w:after="40"/>
      </w:pPr>
      <w:r>
        <w:t>Upload/attach invoice, warranty certificate and manual files.</w:t>
      </w:r>
    </w:p>
    <w:p>
      <w:pPr>
        <w:pStyle w:val="ListBullet"/>
        <w:spacing w:after="40"/>
      </w:pPr>
      <w:r>
        <w:t>Warranty states: active, expiring soon, expired and unknown/unconfirmed.</w:t>
      </w:r>
    </w:p>
    <w:p>
      <w:pPr>
        <w:pStyle w:val="ListBullet"/>
        <w:spacing w:after="40"/>
      </w:pPr>
      <w:r>
        <w:t>Dashboard, product detail pages, search and filters.</w:t>
      </w:r>
    </w:p>
    <w:p>
      <w:pPr>
        <w:pStyle w:val="ListBullet"/>
        <w:spacing w:after="40"/>
      </w:pPr>
      <w:r>
        <w:t>Expiry reminder preferences; begin with in-app visibility and add push/email delivery when ready.</w:t>
      </w:r>
    </w:p>
    <w:p>
      <w:pPr>
        <w:pStyle w:val="ListBullet"/>
        <w:spacing w:after="40"/>
      </w:pPr>
      <w:r>
        <w:t>Manual entry must remain available even after AI extraction is introduced.</w:t>
      </w:r>
    </w:p>
    <w:p>
      <w:pPr>
        <w:pStyle w:val="Heading2"/>
      </w:pPr>
      <w:r>
        <w:t>Phase 2 — AI-assisted registration</w:t>
      </w:r>
    </w:p>
    <w:p>
      <w:pPr>
        <w:pStyle w:val="ListBullet"/>
        <w:spacing w:after="40"/>
      </w:pPr>
      <w:r>
        <w:t>Upload a receipt photo or PDF.</w:t>
      </w:r>
    </w:p>
    <w:p>
      <w:pPr>
        <w:pStyle w:val="ListBullet"/>
        <w:spacing w:after="40"/>
      </w:pPr>
      <w:r>
        <w:t>Extract visible text using OCR.</w:t>
      </w:r>
    </w:p>
    <w:p>
      <w:pPr>
        <w:pStyle w:val="ListBullet"/>
        <w:spacing w:after="40"/>
      </w:pPr>
      <w:r>
        <w:t>Use an AI model to map extracted text into structured product fields.</w:t>
      </w:r>
    </w:p>
    <w:p>
      <w:pPr>
        <w:pStyle w:val="ListBullet"/>
        <w:spacing w:after="40"/>
      </w:pPr>
      <w:r>
        <w:t>Show confidence or uncertainty and require user confirmation before saving.</w:t>
      </w:r>
    </w:p>
    <w:p>
      <w:pPr>
        <w:pStyle w:val="ListBullet"/>
        <w:spacing w:after="40"/>
      </w:pPr>
      <w:r>
        <w:t>Preserve the original uploaded document and trace extracted fields to their source when feasible.</w:t>
      </w:r>
    </w:p>
    <w:p>
      <w:pPr>
        <w:pStyle w:val="ListBullet"/>
        <w:spacing w:after="40"/>
      </w:pPr>
      <w:r>
        <w:t>Never silently invent missing warranty dates or infer coverage from incomplete text.</w:t>
      </w:r>
    </w:p>
    <w:p>
      <w:pPr>
        <w:pStyle w:val="Heading2"/>
      </w:pPr>
      <w:r>
        <w:t>Phase 3 — Chat and AI insights</w:t>
      </w:r>
    </w:p>
    <w:p>
      <w:pPr>
        <w:pStyle w:val="ListBullet"/>
        <w:spacing w:after="40"/>
      </w:pPr>
      <w:r>
        <w:t>Answer questions across a user's saved product records and uploaded documents.</w:t>
      </w:r>
    </w:p>
    <w:p>
      <w:pPr>
        <w:pStyle w:val="ListBullet"/>
        <w:spacing w:after="40"/>
      </w:pPr>
      <w:r>
        <w:t>Examples: “Which warranties expire in the next 60 days?”, “Show products bought from Amazon”, and “What does this warranty document exclude?”</w:t>
      </w:r>
    </w:p>
    <w:p>
      <w:pPr>
        <w:pStyle w:val="ListBullet"/>
        <w:spacing w:after="40"/>
      </w:pPr>
      <w:r>
        <w:t>Provide document/field references for factual answers where possible.</w:t>
      </w:r>
    </w:p>
    <w:p>
      <w:pPr>
        <w:pStyle w:val="ListBullet"/>
        <w:spacing w:after="40"/>
      </w:pPr>
      <w:r>
        <w:t>Insights such as upcoming expiries, missing warranty information and maintenance recommendations grounded in reliable records.</w:t>
      </w:r>
    </w:p>
    <w:p>
      <w:pPr>
        <w:pStyle w:val="Heading2"/>
      </w:pPr>
      <w:r>
        <w:t>Phase 4 — Support and diagnostics</w:t>
      </w:r>
    </w:p>
    <w:p>
      <w:pPr>
        <w:pStyle w:val="ListBullet"/>
        <w:spacing w:after="40"/>
      </w:pPr>
      <w:r>
        <w:t>Show official manufacturer support website, phone number, email and manual when verified.</w:t>
      </w:r>
    </w:p>
    <w:p>
      <w:pPr>
        <w:pStyle w:val="ListBullet"/>
        <w:spacing w:after="40"/>
      </w:pPr>
      <w:r>
        <w:t>Store source URLs and verification dates for support information.</w:t>
      </w:r>
    </w:p>
    <w:p>
      <w:pPr>
        <w:pStyle w:val="ListBullet"/>
        <w:spacing w:after="40"/>
      </w:pPr>
      <w:r>
        <w:t>Offer symptom-based troubleshooting based on the product manual and reputable sources.</w:t>
      </w:r>
    </w:p>
    <w:p>
      <w:pPr>
        <w:pStyle w:val="ListBullet"/>
        <w:spacing w:after="40"/>
      </w:pPr>
      <w:r>
        <w:t>Provide maintenance recommendations where supported by documentation.</w:t>
      </w:r>
    </w:p>
    <w:p>
      <w:pPr>
        <w:pStyle w:val="ListBullet"/>
        <w:spacing w:after="40"/>
      </w:pPr>
      <w:r>
        <w:t>Clearly warn users not to perform unsafe electrical, gas or mechanical repairs.</w:t>
      </w:r>
    </w:p>
    <w:p>
      <w:pPr>
        <w:pStyle w:val="ListBullet"/>
        <w:spacing w:after="40"/>
      </w:pPr>
      <w:r>
        <w:t>Do not submit claims automatically; users contact the manufacturer themselves.</w:t>
      </w:r>
    </w:p>
    <w:p>
      <w:pPr>
        <w:pStyle w:val="Heading2"/>
      </w:pPr>
      <w:r>
        <w:t>Possible future features — only after validation</w:t>
      </w:r>
    </w:p>
    <w:p>
      <w:pPr>
        <w:pStyle w:val="ListBullet"/>
        <w:spacing w:after="40"/>
      </w:pPr>
      <w:r>
        <w:t>Family/household sharing.</w:t>
      </w:r>
    </w:p>
    <w:p>
      <w:pPr>
        <w:pStyle w:val="ListBullet"/>
        <w:spacing w:after="40"/>
      </w:pPr>
      <w:r>
        <w:t>Import receipts from email with explicit permissions.</w:t>
      </w:r>
    </w:p>
    <w:p>
      <w:pPr>
        <w:pStyle w:val="ListBullet"/>
        <w:spacing w:after="40"/>
      </w:pPr>
      <w:r>
        <w:t>Recall alerts from reliable sources.</w:t>
      </w:r>
    </w:p>
    <w:p>
      <w:pPr>
        <w:pStyle w:val="ListBullet"/>
        <w:spacing w:after="40"/>
      </w:pPr>
      <w:r>
        <w:t>Product maintenance history and service records.</w:t>
      </w:r>
    </w:p>
    <w:p>
      <w:pPr>
        <w:pStyle w:val="ListBullet"/>
        <w:spacing w:after="40"/>
      </w:pPr>
      <w:r>
        <w:t>Premium AI features, larger product limits and extended document history.</w:t>
      </w:r>
    </w:p>
    <w:p>
      <w:pPr>
        <w:pStyle w:val="Heading1"/>
      </w:pPr>
      <w:r>
        <w:t>6. UX and visual design direction</w:t>
      </w:r>
    </w:p>
    <w:p>
      <w:pPr>
        <w:pStyle w:val="ListBullet"/>
        <w:spacing w:after="40"/>
      </w:pPr>
      <w:r>
        <w:t>Premium consumer-tech feel, blending a finance app with a smart-home dashboard.</w:t>
      </w:r>
    </w:p>
    <w:p>
      <w:pPr>
        <w:pStyle w:val="ListBullet"/>
        <w:spacing w:after="40"/>
      </w:pPr>
      <w:r>
        <w:t>Strong product iconography and category-specific cards.</w:t>
      </w:r>
    </w:p>
    <w:p>
      <w:pPr>
        <w:pStyle w:val="ListBullet"/>
        <w:spacing w:after="40"/>
      </w:pPr>
      <w:r>
        <w:t>A quick-add action and a simple guided add-product flow.</w:t>
      </w:r>
    </w:p>
    <w:p>
      <w:pPr>
        <w:pStyle w:val="ListBullet"/>
        <w:spacing w:after="40"/>
      </w:pPr>
      <w:r>
        <w:t>A visual expiry timeline and clear status labels.</w:t>
      </w:r>
    </w:p>
    <w:p>
      <w:pPr>
        <w:pStyle w:val="ListBullet"/>
        <w:spacing w:after="40"/>
      </w:pPr>
      <w:r>
        <w:t>A scan animation for invoice capture, with a review screen before saving.</w:t>
      </w:r>
    </w:p>
    <w:p>
      <w:pPr>
        <w:pStyle w:val="ListBullet"/>
        <w:spacing w:after="40"/>
      </w:pPr>
      <w:r>
        <w:t>Responsive mobile-first layout and installable PWA behavior.</w:t>
      </w:r>
    </w:p>
    <w:p>
      <w:pPr>
        <w:pStyle w:val="ListBullet"/>
        <w:spacing w:after="40"/>
      </w:pPr>
      <w:r>
        <w:t>Support dark and light themes if practical, while maintaining accessibility and readable status colors.</w:t>
      </w:r>
    </w:p>
    <w:p>
      <w:r>
        <w:t>Avoid a generic spreadsheet-like list as the primary experience. A list can be available as a secondary view for users who prefer it.</w:t>
      </w:r>
    </w:p>
    <w:p>
      <w:pPr>
        <w:pStyle w:val="Heading1"/>
      </w:pPr>
      <w:r>
        <w:t>7. Technical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64D"/>
          </w:tcPr>
          <w:p>
            <w:pPr>
              <w:spacing w:after="20"/>
            </w:pPr>
            <w:r/>
            <w:r>
              <w:rPr>
                <w:rFonts w:ascii="Aptos" w:hAnsi="Aptos"/>
                <w:b/>
                <w:color w:val="FFFFFF"/>
                <w:sz w:val="18"/>
              </w:rPr>
              <w:t>Layer</w:t>
            </w:r>
          </w:p>
        </w:tc>
        <w:tc>
          <w:tcPr>
            <w:tcW w:type="dxa" w:w="3312"/>
            <w:vAlign w:val="center"/>
            <w:shd w:fill="16364D"/>
          </w:tcPr>
          <w:p>
            <w:pPr>
              <w:spacing w:after="20"/>
            </w:pPr>
            <w:r/>
            <w:r>
              <w:rPr>
                <w:rFonts w:ascii="Aptos" w:hAnsi="Aptos"/>
                <w:b/>
                <w:color w:val="FFFFFF"/>
                <w:sz w:val="18"/>
              </w:rPr>
              <w:t>Initial choice</w:t>
            </w:r>
          </w:p>
        </w:tc>
        <w:tc>
          <w:tcPr>
            <w:tcW w:type="dxa" w:w="3312"/>
            <w:vAlign w:val="center"/>
            <w:shd w:fill="16364D"/>
          </w:tcPr>
          <w:p>
            <w:pPr>
              <w:spacing w:after="20"/>
            </w:pPr>
            <w:r/>
            <w:r>
              <w:rPr>
                <w:rFonts w:ascii="Aptos" w:hAnsi="Aptos"/>
                <w:b/>
                <w:color w:val="FFFFFF"/>
                <w:sz w:val="18"/>
              </w:rPr>
              <w:t>Notes</w:t>
            </w:r>
          </w:p>
        </w:tc>
      </w:tr>
      <w:tr>
        <w:tc>
          <w:tcPr>
            <w:tcW w:type="dxa" w:w="3312"/>
            <w:vAlign w:val="center"/>
          </w:tcPr>
          <w:p>
            <w:pPr>
              <w:spacing w:after="20"/>
            </w:pPr>
            <w:r/>
            <w:r>
              <w:rPr>
                <w:rFonts w:ascii="Aptos" w:hAnsi="Aptos"/>
                <w:b w:val="0"/>
                <w:sz w:val="18"/>
              </w:rPr>
              <w:t>Frontend</w:t>
            </w:r>
          </w:p>
        </w:tc>
        <w:tc>
          <w:tcPr>
            <w:tcW w:type="dxa" w:w="3312"/>
            <w:vAlign w:val="center"/>
          </w:tcPr>
          <w:p>
            <w:pPr>
              <w:spacing w:after="20"/>
            </w:pPr>
            <w:r/>
            <w:r>
              <w:rPr>
                <w:rFonts w:ascii="Aptos" w:hAnsi="Aptos"/>
                <w:b w:val="0"/>
                <w:sz w:val="18"/>
              </w:rPr>
              <w:t>Next.js + React + TypeScript</w:t>
            </w:r>
          </w:p>
        </w:tc>
        <w:tc>
          <w:tcPr>
            <w:tcW w:type="dxa" w:w="3312"/>
            <w:vAlign w:val="center"/>
          </w:tcPr>
          <w:p>
            <w:pPr>
              <w:spacing w:after="20"/>
            </w:pPr>
            <w:r/>
            <w:r>
              <w:rPr>
                <w:rFonts w:ascii="Aptos" w:hAnsi="Aptos"/>
                <w:b w:val="0"/>
                <w:sz w:val="18"/>
              </w:rPr>
              <w:t>Responsive, mobile-first PWA; Tailwind CSS for styling.</w:t>
            </w:r>
          </w:p>
        </w:tc>
      </w:tr>
      <w:tr>
        <w:tc>
          <w:tcPr>
            <w:tcW w:type="dxa" w:w="3312"/>
            <w:vAlign w:val="center"/>
            <w:shd w:fill="F1F5F7"/>
          </w:tcPr>
          <w:p>
            <w:pPr>
              <w:spacing w:after="20"/>
            </w:pPr>
            <w:r/>
            <w:r>
              <w:rPr>
                <w:rFonts w:ascii="Aptos" w:hAnsi="Aptos"/>
                <w:b w:val="0"/>
                <w:sz w:val="18"/>
              </w:rPr>
              <w:t>Backend API</w:t>
            </w:r>
          </w:p>
        </w:tc>
        <w:tc>
          <w:tcPr>
            <w:tcW w:type="dxa" w:w="3312"/>
            <w:vAlign w:val="center"/>
            <w:shd w:fill="F1F5F7"/>
          </w:tcPr>
          <w:p>
            <w:pPr>
              <w:spacing w:after="20"/>
            </w:pPr>
            <w:r/>
            <w:r>
              <w:rPr>
                <w:rFonts w:ascii="Aptos" w:hAnsi="Aptos"/>
                <w:b w:val="0"/>
                <w:sz w:val="18"/>
              </w:rPr>
              <w:t>Python + FastAPI + Pydantic</w:t>
            </w:r>
          </w:p>
        </w:tc>
        <w:tc>
          <w:tcPr>
            <w:tcW w:type="dxa" w:w="3312"/>
            <w:vAlign w:val="center"/>
            <w:shd w:fill="F1F5F7"/>
          </w:tcPr>
          <w:p>
            <w:pPr>
              <w:spacing w:after="20"/>
            </w:pPr>
            <w:r/>
            <w:r>
              <w:rPr>
                <w:rFonts w:ascii="Aptos" w:hAnsi="Aptos"/>
                <w:b w:val="0"/>
                <w:sz w:val="18"/>
              </w:rPr>
              <w:t>Business logic, validation and later AI endpoints.</w:t>
            </w:r>
          </w:p>
        </w:tc>
      </w:tr>
      <w:tr>
        <w:tc>
          <w:tcPr>
            <w:tcW w:type="dxa" w:w="3312"/>
            <w:vAlign w:val="center"/>
          </w:tcPr>
          <w:p>
            <w:pPr>
              <w:spacing w:after="20"/>
            </w:pPr>
            <w:r/>
            <w:r>
              <w:rPr>
                <w:rFonts w:ascii="Aptos" w:hAnsi="Aptos"/>
                <w:b w:val="0"/>
                <w:sz w:val="18"/>
              </w:rPr>
              <w:t>Local database</w:t>
            </w:r>
          </w:p>
        </w:tc>
        <w:tc>
          <w:tcPr>
            <w:tcW w:type="dxa" w:w="3312"/>
            <w:vAlign w:val="center"/>
          </w:tcPr>
          <w:p>
            <w:pPr>
              <w:spacing w:after="20"/>
            </w:pPr>
            <w:r/>
            <w:r>
              <w:rPr>
                <w:rFonts w:ascii="Aptos" w:hAnsi="Aptos"/>
                <w:b w:val="0"/>
                <w:sz w:val="18"/>
              </w:rPr>
              <w:t>SQLite + SQLAlchemy</w:t>
            </w:r>
          </w:p>
        </w:tc>
        <w:tc>
          <w:tcPr>
            <w:tcW w:type="dxa" w:w="3312"/>
            <w:vAlign w:val="center"/>
          </w:tcPr>
          <w:p>
            <w:pPr>
              <w:spacing w:after="20"/>
            </w:pPr>
            <w:r/>
            <w:r>
              <w:rPr>
                <w:rFonts w:ascii="Aptos" w:hAnsi="Aptos"/>
                <w:b w:val="0"/>
                <w:sz w:val="18"/>
              </w:rPr>
              <w:t>Simple local development; keep data access abstracted for migration.</w:t>
            </w:r>
          </w:p>
        </w:tc>
      </w:tr>
      <w:tr>
        <w:tc>
          <w:tcPr>
            <w:tcW w:type="dxa" w:w="3312"/>
            <w:vAlign w:val="center"/>
            <w:shd w:fill="F1F5F7"/>
          </w:tcPr>
          <w:p>
            <w:pPr>
              <w:spacing w:after="20"/>
            </w:pPr>
            <w:r/>
            <w:r>
              <w:rPr>
                <w:rFonts w:ascii="Aptos" w:hAnsi="Aptos"/>
                <w:b w:val="0"/>
                <w:sz w:val="18"/>
              </w:rPr>
              <w:t>Production database</w:t>
            </w:r>
          </w:p>
        </w:tc>
        <w:tc>
          <w:tcPr>
            <w:tcW w:type="dxa" w:w="3312"/>
            <w:vAlign w:val="center"/>
            <w:shd w:fill="F1F5F7"/>
          </w:tcPr>
          <w:p>
            <w:pPr>
              <w:spacing w:after="20"/>
            </w:pPr>
            <w:r/>
            <w:r>
              <w:rPr>
                <w:rFonts w:ascii="Aptos" w:hAnsi="Aptos"/>
                <w:b w:val="0"/>
                <w:sz w:val="18"/>
              </w:rPr>
              <w:t>Managed PostgreSQL</w:t>
            </w:r>
          </w:p>
        </w:tc>
        <w:tc>
          <w:tcPr>
            <w:tcW w:type="dxa" w:w="3312"/>
            <w:vAlign w:val="center"/>
            <w:shd w:fill="F1F5F7"/>
          </w:tcPr>
          <w:p>
            <w:pPr>
              <w:spacing w:after="20"/>
            </w:pPr>
            <w:r/>
            <w:r>
              <w:rPr>
                <w:rFonts w:ascii="Aptos" w:hAnsi="Aptos"/>
                <w:b w:val="0"/>
                <w:sz w:val="18"/>
              </w:rPr>
              <w:t>Introduce when cloud deployment and multi-user persistence are needed.</w:t>
            </w:r>
          </w:p>
        </w:tc>
      </w:tr>
      <w:tr>
        <w:tc>
          <w:tcPr>
            <w:tcW w:type="dxa" w:w="3312"/>
            <w:vAlign w:val="center"/>
          </w:tcPr>
          <w:p>
            <w:pPr>
              <w:spacing w:after="20"/>
            </w:pPr>
            <w:r/>
            <w:r>
              <w:rPr>
                <w:rFonts w:ascii="Aptos" w:hAnsi="Aptos"/>
                <w:b w:val="0"/>
                <w:sz w:val="18"/>
              </w:rPr>
              <w:t>Authentication</w:t>
            </w:r>
          </w:p>
        </w:tc>
        <w:tc>
          <w:tcPr>
            <w:tcW w:type="dxa" w:w="3312"/>
            <w:vAlign w:val="center"/>
          </w:tcPr>
          <w:p>
            <w:pPr>
              <w:spacing w:after="20"/>
            </w:pPr>
            <w:r/>
            <w:r>
              <w:rPr>
                <w:rFonts w:ascii="Aptos" w:hAnsi="Aptos"/>
                <w:b w:val="0"/>
                <w:sz w:val="18"/>
              </w:rPr>
              <w:t>Clerk or another suitable provider</w:t>
            </w:r>
          </w:p>
        </w:tc>
        <w:tc>
          <w:tcPr>
            <w:tcW w:type="dxa" w:w="3312"/>
            <w:vAlign w:val="center"/>
          </w:tcPr>
          <w:p>
            <w:pPr>
              <w:spacing w:after="20"/>
            </w:pPr>
            <w:r/>
            <w:r>
              <w:rPr>
                <w:rFonts w:ascii="Aptos" w:hAnsi="Aptos"/>
                <w:b w:val="0"/>
                <w:sz w:val="18"/>
              </w:rPr>
              <w:t>Add before inviting real users; verify tokens server-side.</w:t>
            </w:r>
          </w:p>
        </w:tc>
      </w:tr>
      <w:tr>
        <w:tc>
          <w:tcPr>
            <w:tcW w:type="dxa" w:w="3312"/>
            <w:vAlign w:val="center"/>
            <w:shd w:fill="F1F5F7"/>
          </w:tcPr>
          <w:p>
            <w:pPr>
              <w:spacing w:after="20"/>
            </w:pPr>
            <w:r/>
            <w:r>
              <w:rPr>
                <w:rFonts w:ascii="Aptos" w:hAnsi="Aptos"/>
                <w:b w:val="0"/>
                <w:sz w:val="18"/>
              </w:rPr>
              <w:t>Document storage</w:t>
            </w:r>
          </w:p>
        </w:tc>
        <w:tc>
          <w:tcPr>
            <w:tcW w:type="dxa" w:w="3312"/>
            <w:vAlign w:val="center"/>
            <w:shd w:fill="F1F5F7"/>
          </w:tcPr>
          <w:p>
            <w:pPr>
              <w:spacing w:after="20"/>
            </w:pPr>
            <w:r/>
            <w:r>
              <w:rPr>
                <w:rFonts w:ascii="Aptos" w:hAnsi="Aptos"/>
                <w:b w:val="0"/>
                <w:sz w:val="18"/>
              </w:rPr>
              <w:t>Local during prototype; cloud object storage later</w:t>
            </w:r>
          </w:p>
        </w:tc>
        <w:tc>
          <w:tcPr>
            <w:tcW w:type="dxa" w:w="3312"/>
            <w:vAlign w:val="center"/>
            <w:shd w:fill="F1F5F7"/>
          </w:tcPr>
          <w:p>
            <w:pPr>
              <w:spacing w:after="20"/>
            </w:pPr>
            <w:r/>
            <w:r>
              <w:rPr>
                <w:rFonts w:ascii="Aptos" w:hAnsi="Aptos"/>
                <w:b w:val="0"/>
                <w:sz w:val="18"/>
              </w:rPr>
              <w:t>Do not rely on temporary local files for production users.</w:t>
            </w:r>
          </w:p>
        </w:tc>
      </w:tr>
      <w:tr>
        <w:tc>
          <w:tcPr>
            <w:tcW w:type="dxa" w:w="3312"/>
            <w:vAlign w:val="center"/>
          </w:tcPr>
          <w:p>
            <w:pPr>
              <w:spacing w:after="20"/>
            </w:pPr>
            <w:r/>
            <w:r>
              <w:rPr>
                <w:rFonts w:ascii="Aptos" w:hAnsi="Aptos"/>
                <w:b w:val="0"/>
                <w:sz w:val="18"/>
              </w:rPr>
              <w:t>AI/OCR</w:t>
            </w:r>
          </w:p>
        </w:tc>
        <w:tc>
          <w:tcPr>
            <w:tcW w:type="dxa" w:w="3312"/>
            <w:vAlign w:val="center"/>
          </w:tcPr>
          <w:p>
            <w:pPr>
              <w:spacing w:after="20"/>
            </w:pPr>
            <w:r/>
            <w:r>
              <w:rPr>
                <w:rFonts w:ascii="Aptos" w:hAnsi="Aptos"/>
                <w:b w:val="0"/>
                <w:sz w:val="18"/>
              </w:rPr>
              <w:t>OCR + model API when needed</w:t>
            </w:r>
          </w:p>
        </w:tc>
        <w:tc>
          <w:tcPr>
            <w:tcW w:type="dxa" w:w="3312"/>
            <w:vAlign w:val="center"/>
          </w:tcPr>
          <w:p>
            <w:pPr>
              <w:spacing w:after="20"/>
            </w:pPr>
            <w:r/>
            <w:r>
              <w:rPr>
                <w:rFonts w:ascii="Aptos" w:hAnsi="Aptos"/>
                <w:b w:val="0"/>
                <w:sz w:val="18"/>
              </w:rPr>
              <w:t>AI API usage is separate from consumer chat subscriptions.</w:t>
            </w:r>
          </w:p>
        </w:tc>
      </w:tr>
      <w:tr>
        <w:tc>
          <w:tcPr>
            <w:tcW w:type="dxa" w:w="3312"/>
            <w:vAlign w:val="center"/>
            <w:shd w:fill="F1F5F7"/>
          </w:tcPr>
          <w:p>
            <w:pPr>
              <w:spacing w:after="20"/>
            </w:pPr>
            <w:r/>
            <w:r>
              <w:rPr>
                <w:rFonts w:ascii="Aptos" w:hAnsi="Aptos"/>
                <w:b w:val="0"/>
                <w:sz w:val="18"/>
              </w:rPr>
              <w:t>Hosting</w:t>
            </w:r>
          </w:p>
        </w:tc>
        <w:tc>
          <w:tcPr>
            <w:tcW w:type="dxa" w:w="3312"/>
            <w:vAlign w:val="center"/>
            <w:shd w:fill="F1F5F7"/>
          </w:tcPr>
          <w:p>
            <w:pPr>
              <w:spacing w:after="20"/>
            </w:pPr>
            <w:r/>
            <w:r>
              <w:rPr>
                <w:rFonts w:ascii="Aptos" w:hAnsi="Aptos"/>
                <w:b w:val="0"/>
                <w:sz w:val="18"/>
              </w:rPr>
              <w:t>Google Cloud Run under consideration</w:t>
            </w:r>
          </w:p>
        </w:tc>
        <w:tc>
          <w:tcPr>
            <w:tcW w:type="dxa" w:w="3312"/>
            <w:vAlign w:val="center"/>
            <w:shd w:fill="F1F5F7"/>
          </w:tcPr>
          <w:p>
            <w:pPr>
              <w:spacing w:after="20"/>
            </w:pPr>
            <w:r/>
            <w:r>
              <w:rPr>
                <w:rFonts w:ascii="Aptos" w:hAnsi="Aptos"/>
                <w:b w:val="0"/>
                <w:sz w:val="18"/>
              </w:rPr>
              <w:t>Deploy only after local validation; monitor costs.</w:t>
            </w:r>
          </w:p>
        </w:tc>
      </w:tr>
      <w:tr>
        <w:tc>
          <w:tcPr>
            <w:tcW w:type="dxa" w:w="3312"/>
            <w:vAlign w:val="center"/>
          </w:tcPr>
          <w:p>
            <w:pPr>
              <w:spacing w:after="20"/>
            </w:pPr>
            <w:r/>
            <w:r>
              <w:rPr>
                <w:rFonts w:ascii="Aptos" w:hAnsi="Aptos"/>
                <w:b w:val="0"/>
                <w:sz w:val="18"/>
              </w:rPr>
              <w:t>Source control</w:t>
            </w:r>
          </w:p>
        </w:tc>
        <w:tc>
          <w:tcPr>
            <w:tcW w:type="dxa" w:w="3312"/>
            <w:vAlign w:val="center"/>
          </w:tcPr>
          <w:p>
            <w:pPr>
              <w:spacing w:after="20"/>
            </w:pPr>
            <w:r/>
            <w:r>
              <w:rPr>
                <w:rFonts w:ascii="Aptos" w:hAnsi="Aptos"/>
                <w:b w:val="0"/>
                <w:sz w:val="18"/>
              </w:rPr>
              <w:t>Git + GitHub</w:t>
            </w:r>
          </w:p>
        </w:tc>
        <w:tc>
          <w:tcPr>
            <w:tcW w:type="dxa" w:w="3312"/>
            <w:vAlign w:val="center"/>
          </w:tcPr>
          <w:p>
            <w:pPr>
              <w:spacing w:after="20"/>
            </w:pPr>
            <w:r/>
            <w:r>
              <w:rPr>
                <w:rFonts w:ascii="Aptos" w:hAnsi="Aptos"/>
                <w:b w:val="0"/>
                <w:sz w:val="18"/>
              </w:rPr>
              <w:t>Commit small changes and keep secrets out of the repository.</w:t>
            </w:r>
          </w:p>
        </w:tc>
      </w:tr>
    </w:tbl>
    <w:p/>
    <w:p>
      <w:pPr>
        <w:pStyle w:val="Heading2"/>
      </w:pPr>
      <w:r>
        <w:t>Suggested repository layout</w:t>
      </w:r>
    </w:p>
    <w:p>
      <w:r>
        <w:rPr>
          <w:rFonts w:ascii="Consolas" w:hAnsi="Consolas"/>
          <w:sz w:val="18"/>
        </w:rPr>
        <w:t>warrantifi/</w:t>
        <w:br/>
        <w:t>├── frontend/       # Next.js, TypeScript, Tailwind</w:t>
        <w:br/>
        <w:t>├── backend/        # FastAPI, Python</w:t>
        <w:br/>
        <w:t>├── docs/           # Product brief, decisions, setup notes</w:t>
        <w:br/>
        <w:t>├── .gitignore</w:t>
        <w:br/>
        <w:t>└── README.md</w:t>
      </w:r>
    </w:p>
    <w:p>
      <w:pPr>
        <w:pStyle w:val="Heading1"/>
      </w:pPr>
      <w:r>
        <w:t>8. What to defer</w:t>
      </w:r>
    </w:p>
    <w:p>
      <w:pPr>
        <w:pStyle w:val="ListBullet"/>
        <w:spacing w:after="40"/>
      </w:pPr>
      <w:r>
        <w:t>Docker and complex container orchestration unless a real deployment need appears.</w:t>
      </w:r>
    </w:p>
    <w:p>
      <w:pPr>
        <w:pStyle w:val="ListBullet"/>
        <w:spacing w:after="40"/>
      </w:pPr>
      <w:r>
        <w:t>Redis, Celery and background job infrastructure until workload requires it.</w:t>
      </w:r>
    </w:p>
    <w:p>
      <w:pPr>
        <w:pStyle w:val="ListBullet"/>
        <w:spacing w:after="40"/>
      </w:pPr>
      <w:r>
        <w:t>Vector database/RAG infrastructure until document chat needs it; begin with straightforward retrieval and metadata.</w:t>
      </w:r>
    </w:p>
    <w:p>
      <w:pPr>
        <w:pStyle w:val="ListBullet"/>
        <w:spacing w:after="40"/>
      </w:pPr>
      <w:r>
        <w:t>Stripe or other payments until pricing and demand are validated.</w:t>
      </w:r>
    </w:p>
    <w:p>
      <w:pPr>
        <w:pStyle w:val="ListBullet"/>
        <w:spacing w:after="40"/>
      </w:pPr>
      <w:r>
        <w:t>Complex CI/CD pipelines until the basic app and deployment flow are stable.</w:t>
      </w:r>
    </w:p>
    <w:p>
      <w:pPr>
        <w:pStyle w:val="ListBullet"/>
        <w:spacing w:after="40"/>
      </w:pPr>
      <w:r>
        <w:t>Automated claims submission, integrations with manufacturers and warranty-claim automation.</w:t>
      </w:r>
    </w:p>
    <w:p>
      <w:pPr>
        <w:pStyle w:val="ListBullet"/>
        <w:spacing w:after="40"/>
      </w:pPr>
      <w:r>
        <w:t>Large-scale architecture and premature multi-service separation.</w:t>
      </w:r>
    </w:p>
    <w:p>
      <w:pPr>
        <w:pStyle w:val="Heading1"/>
      </w:pPr>
      <w:r>
        <w:t>9. Development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64D"/>
          </w:tcPr>
          <w:p>
            <w:pPr>
              <w:spacing w:after="20"/>
            </w:pPr>
            <w:r/>
            <w:r>
              <w:rPr>
                <w:rFonts w:ascii="Aptos" w:hAnsi="Aptos"/>
                <w:b/>
                <w:color w:val="FFFFFF"/>
                <w:sz w:val="18"/>
              </w:rPr>
              <w:t>Milestone</w:t>
            </w:r>
          </w:p>
        </w:tc>
        <w:tc>
          <w:tcPr>
            <w:tcW w:type="dxa" w:w="3312"/>
            <w:vAlign w:val="center"/>
            <w:shd w:fill="16364D"/>
          </w:tcPr>
          <w:p>
            <w:pPr>
              <w:spacing w:after="20"/>
            </w:pPr>
            <w:r/>
            <w:r>
              <w:rPr>
                <w:rFonts w:ascii="Aptos" w:hAnsi="Aptos"/>
                <w:b/>
                <w:color w:val="FFFFFF"/>
                <w:sz w:val="18"/>
              </w:rPr>
              <w:t>Estimated timing</w:t>
            </w:r>
          </w:p>
        </w:tc>
        <w:tc>
          <w:tcPr>
            <w:tcW w:type="dxa" w:w="3312"/>
            <w:vAlign w:val="center"/>
            <w:shd w:fill="16364D"/>
          </w:tcPr>
          <w:p>
            <w:pPr>
              <w:spacing w:after="20"/>
            </w:pPr>
            <w:r/>
            <w:r>
              <w:rPr>
                <w:rFonts w:ascii="Aptos" w:hAnsi="Aptos"/>
                <w:b/>
                <w:color w:val="FFFFFF"/>
                <w:sz w:val="18"/>
              </w:rPr>
              <w:t>Deliverable</w:t>
            </w:r>
          </w:p>
        </w:tc>
      </w:tr>
      <w:tr>
        <w:tc>
          <w:tcPr>
            <w:tcW w:type="dxa" w:w="3312"/>
            <w:vAlign w:val="center"/>
          </w:tcPr>
          <w:p>
            <w:pPr>
              <w:spacing w:after="20"/>
            </w:pPr>
            <w:r/>
            <w:r>
              <w:rPr>
                <w:rFonts w:ascii="Aptos" w:hAnsi="Aptos"/>
                <w:b w:val="0"/>
                <w:sz w:val="18"/>
              </w:rPr>
              <w:t>1. Local setup</w:t>
            </w:r>
          </w:p>
        </w:tc>
        <w:tc>
          <w:tcPr>
            <w:tcW w:type="dxa" w:w="3312"/>
            <w:vAlign w:val="center"/>
          </w:tcPr>
          <w:p>
            <w:pPr>
              <w:spacing w:after="20"/>
            </w:pPr>
            <w:r/>
            <w:r>
              <w:rPr>
                <w:rFonts w:ascii="Aptos" w:hAnsi="Aptos"/>
                <w:b w:val="0"/>
                <w:sz w:val="18"/>
              </w:rPr>
              <w:t>Day 1</w:t>
            </w:r>
          </w:p>
        </w:tc>
        <w:tc>
          <w:tcPr>
            <w:tcW w:type="dxa" w:w="3312"/>
            <w:vAlign w:val="center"/>
          </w:tcPr>
          <w:p>
            <w:pPr>
              <w:spacing w:after="20"/>
            </w:pPr>
            <w:r/>
            <w:r>
              <w:rPr>
                <w:rFonts w:ascii="Aptos" w:hAnsi="Aptos"/>
                <w:b w:val="0"/>
                <w:sz w:val="18"/>
              </w:rPr>
              <w:t>Tools verified, repository created, Next.js frontend and FastAPI health endpoint running.</w:t>
            </w:r>
          </w:p>
        </w:tc>
      </w:tr>
      <w:tr>
        <w:tc>
          <w:tcPr>
            <w:tcW w:type="dxa" w:w="3312"/>
            <w:vAlign w:val="center"/>
            <w:shd w:fill="F1F5F7"/>
          </w:tcPr>
          <w:p>
            <w:pPr>
              <w:spacing w:after="20"/>
            </w:pPr>
            <w:r/>
            <w:r>
              <w:rPr>
                <w:rFonts w:ascii="Aptos" w:hAnsi="Aptos"/>
                <w:b w:val="0"/>
                <w:sz w:val="18"/>
              </w:rPr>
              <w:t>2. UI prototype</w:t>
            </w:r>
          </w:p>
        </w:tc>
        <w:tc>
          <w:tcPr>
            <w:tcW w:type="dxa" w:w="3312"/>
            <w:vAlign w:val="center"/>
            <w:shd w:fill="F1F5F7"/>
          </w:tcPr>
          <w:p>
            <w:pPr>
              <w:spacing w:after="20"/>
            </w:pPr>
            <w:r/>
            <w:r>
              <w:rPr>
                <w:rFonts w:ascii="Aptos" w:hAnsi="Aptos"/>
                <w:b w:val="0"/>
                <w:sz w:val="18"/>
              </w:rPr>
              <w:t>Days 2–4</w:t>
            </w:r>
          </w:p>
        </w:tc>
        <w:tc>
          <w:tcPr>
            <w:tcW w:type="dxa" w:w="3312"/>
            <w:vAlign w:val="center"/>
            <w:shd w:fill="F1F5F7"/>
          </w:tcPr>
          <w:p>
            <w:pPr>
              <w:spacing w:after="20"/>
            </w:pPr>
            <w:r/>
            <w:r>
              <w:rPr>
                <w:rFonts w:ascii="Aptos" w:hAnsi="Aptos"/>
                <w:b w:val="0"/>
                <w:sz w:val="18"/>
              </w:rPr>
              <w:t>Responsive dashboard, sample products, add-product and detail screens.</w:t>
            </w:r>
          </w:p>
        </w:tc>
      </w:tr>
      <w:tr>
        <w:tc>
          <w:tcPr>
            <w:tcW w:type="dxa" w:w="3312"/>
            <w:vAlign w:val="center"/>
          </w:tcPr>
          <w:p>
            <w:pPr>
              <w:spacing w:after="20"/>
            </w:pPr>
            <w:r/>
            <w:r>
              <w:rPr>
                <w:rFonts w:ascii="Aptos" w:hAnsi="Aptos"/>
                <w:b w:val="0"/>
                <w:sz w:val="18"/>
              </w:rPr>
              <w:t>3. Functional tracker</w:t>
            </w:r>
          </w:p>
        </w:tc>
        <w:tc>
          <w:tcPr>
            <w:tcW w:type="dxa" w:w="3312"/>
            <w:vAlign w:val="center"/>
          </w:tcPr>
          <w:p>
            <w:pPr>
              <w:spacing w:after="20"/>
            </w:pPr>
            <w:r/>
            <w:r>
              <w:rPr>
                <w:rFonts w:ascii="Aptos" w:hAnsi="Aptos"/>
                <w:b w:val="0"/>
                <w:sz w:val="18"/>
              </w:rPr>
              <w:t>Days 5–7</w:t>
            </w:r>
          </w:p>
        </w:tc>
        <w:tc>
          <w:tcPr>
            <w:tcW w:type="dxa" w:w="3312"/>
            <w:vAlign w:val="center"/>
          </w:tcPr>
          <w:p>
            <w:pPr>
              <w:spacing w:after="20"/>
            </w:pPr>
            <w:r/>
            <w:r>
              <w:rPr>
                <w:rFonts w:ascii="Aptos" w:hAnsi="Aptos"/>
                <w:b w:val="0"/>
                <w:sz w:val="18"/>
              </w:rPr>
              <w:t>CRUD, local database persistence, warranty status calculation and tests.</w:t>
            </w:r>
          </w:p>
        </w:tc>
      </w:tr>
      <w:tr>
        <w:tc>
          <w:tcPr>
            <w:tcW w:type="dxa" w:w="3312"/>
            <w:vAlign w:val="center"/>
            <w:shd w:fill="F1F5F7"/>
          </w:tcPr>
          <w:p>
            <w:pPr>
              <w:spacing w:after="20"/>
            </w:pPr>
            <w:r/>
            <w:r>
              <w:rPr>
                <w:rFonts w:ascii="Aptos" w:hAnsi="Aptos"/>
                <w:b w:val="0"/>
                <w:sz w:val="18"/>
              </w:rPr>
              <w:t>4. Invoice intelligence</w:t>
            </w:r>
          </w:p>
        </w:tc>
        <w:tc>
          <w:tcPr>
            <w:tcW w:type="dxa" w:w="3312"/>
            <w:vAlign w:val="center"/>
            <w:shd w:fill="F1F5F7"/>
          </w:tcPr>
          <w:p>
            <w:pPr>
              <w:spacing w:after="20"/>
            </w:pPr>
            <w:r/>
            <w:r>
              <w:rPr>
                <w:rFonts w:ascii="Aptos" w:hAnsi="Aptos"/>
                <w:b w:val="0"/>
                <w:sz w:val="18"/>
              </w:rPr>
              <w:t>Week 2</w:t>
            </w:r>
          </w:p>
        </w:tc>
        <w:tc>
          <w:tcPr>
            <w:tcW w:type="dxa" w:w="3312"/>
            <w:vAlign w:val="center"/>
            <w:shd w:fill="F1F5F7"/>
          </w:tcPr>
          <w:p>
            <w:pPr>
              <w:spacing w:after="20"/>
            </w:pPr>
            <w:r/>
            <w:r>
              <w:rPr>
                <w:rFonts w:ascii="Aptos" w:hAnsi="Aptos"/>
                <w:b w:val="0"/>
                <w:sz w:val="18"/>
              </w:rPr>
              <w:t>Upload, OCR, AI field mapping, uncertainty display and user confirmation.</w:t>
            </w:r>
          </w:p>
        </w:tc>
      </w:tr>
      <w:tr>
        <w:tc>
          <w:tcPr>
            <w:tcW w:type="dxa" w:w="3312"/>
            <w:vAlign w:val="center"/>
          </w:tcPr>
          <w:p>
            <w:pPr>
              <w:spacing w:after="20"/>
            </w:pPr>
            <w:r/>
            <w:r>
              <w:rPr>
                <w:rFonts w:ascii="Aptos" w:hAnsi="Aptos"/>
                <w:b w:val="0"/>
                <w:sz w:val="18"/>
              </w:rPr>
              <w:t>5. Accounts and reminders</w:t>
            </w:r>
          </w:p>
        </w:tc>
        <w:tc>
          <w:tcPr>
            <w:tcW w:type="dxa" w:w="3312"/>
            <w:vAlign w:val="center"/>
          </w:tcPr>
          <w:p>
            <w:pPr>
              <w:spacing w:after="20"/>
            </w:pPr>
            <w:r/>
            <w:r>
              <w:rPr>
                <w:rFonts w:ascii="Aptos" w:hAnsi="Aptos"/>
                <w:b w:val="0"/>
                <w:sz w:val="18"/>
              </w:rPr>
              <w:t>Weeks 2–3</w:t>
            </w:r>
          </w:p>
        </w:tc>
        <w:tc>
          <w:tcPr>
            <w:tcW w:type="dxa" w:w="3312"/>
            <w:vAlign w:val="center"/>
          </w:tcPr>
          <w:p>
            <w:pPr>
              <w:spacing w:after="20"/>
            </w:pPr>
            <w:r/>
            <w:r>
              <w:rPr>
                <w:rFonts w:ascii="Aptos" w:hAnsi="Aptos"/>
                <w:b w:val="0"/>
                <w:sz w:val="18"/>
              </w:rPr>
              <w:t>Authentication, private records, document storage and reminder delivery.</w:t>
            </w:r>
          </w:p>
        </w:tc>
      </w:tr>
      <w:tr>
        <w:tc>
          <w:tcPr>
            <w:tcW w:type="dxa" w:w="3312"/>
            <w:vAlign w:val="center"/>
            <w:shd w:fill="F1F5F7"/>
          </w:tcPr>
          <w:p>
            <w:pPr>
              <w:spacing w:after="20"/>
            </w:pPr>
            <w:r/>
            <w:r>
              <w:rPr>
                <w:rFonts w:ascii="Aptos" w:hAnsi="Aptos"/>
                <w:b w:val="0"/>
                <w:sz w:val="18"/>
              </w:rPr>
              <w:t>6. Cloud beta</w:t>
            </w:r>
          </w:p>
        </w:tc>
        <w:tc>
          <w:tcPr>
            <w:tcW w:type="dxa" w:w="3312"/>
            <w:vAlign w:val="center"/>
            <w:shd w:fill="F1F5F7"/>
          </w:tcPr>
          <w:p>
            <w:pPr>
              <w:spacing w:after="20"/>
            </w:pPr>
            <w:r/>
            <w:r>
              <w:rPr>
                <w:rFonts w:ascii="Aptos" w:hAnsi="Aptos"/>
                <w:b w:val="0"/>
                <w:sz w:val="18"/>
              </w:rPr>
              <w:t>Week 3 onward</w:t>
            </w:r>
          </w:p>
        </w:tc>
        <w:tc>
          <w:tcPr>
            <w:tcW w:type="dxa" w:w="3312"/>
            <w:vAlign w:val="center"/>
            <w:shd w:fill="F1F5F7"/>
          </w:tcPr>
          <w:p>
            <w:pPr>
              <w:spacing w:after="20"/>
            </w:pPr>
            <w:r/>
            <w:r>
              <w:rPr>
                <w:rFonts w:ascii="Aptos" w:hAnsi="Aptos"/>
                <w:b w:val="0"/>
                <w:sz w:val="18"/>
              </w:rPr>
              <w:t>Cloud deployment, managed database, monitoring and a small user test.</w:t>
            </w:r>
          </w:p>
        </w:tc>
      </w:tr>
      <w:tr>
        <w:tc>
          <w:tcPr>
            <w:tcW w:type="dxa" w:w="3312"/>
            <w:vAlign w:val="center"/>
          </w:tcPr>
          <w:p>
            <w:pPr>
              <w:spacing w:after="20"/>
            </w:pPr>
            <w:r/>
            <w:r>
              <w:rPr>
                <w:rFonts w:ascii="Aptos" w:hAnsi="Aptos"/>
                <w:b w:val="0"/>
                <w:sz w:val="18"/>
              </w:rPr>
              <w:t>7. Chat/support features</w:t>
            </w:r>
          </w:p>
        </w:tc>
        <w:tc>
          <w:tcPr>
            <w:tcW w:type="dxa" w:w="3312"/>
            <w:vAlign w:val="center"/>
          </w:tcPr>
          <w:p>
            <w:pPr>
              <w:spacing w:after="20"/>
            </w:pPr>
            <w:r/>
            <w:r>
              <w:rPr>
                <w:rFonts w:ascii="Aptos" w:hAnsi="Aptos"/>
                <w:b w:val="0"/>
                <w:sz w:val="18"/>
              </w:rPr>
              <w:t>After MVP validation</w:t>
            </w:r>
          </w:p>
        </w:tc>
        <w:tc>
          <w:tcPr>
            <w:tcW w:type="dxa" w:w="3312"/>
            <w:vAlign w:val="center"/>
          </w:tcPr>
          <w:p>
            <w:pPr>
              <w:spacing w:after="20"/>
            </w:pPr>
            <w:r/>
            <w:r>
              <w:rPr>
                <w:rFonts w:ascii="Aptos" w:hAnsi="Aptos"/>
                <w:b w:val="0"/>
                <w:sz w:val="18"/>
              </w:rPr>
              <w:t>Grounded product chat, verified support details and diagnostics.</w:t>
            </w:r>
          </w:p>
        </w:tc>
      </w:tr>
    </w:tbl>
    <w:p/>
    <w:p>
      <w:r>
        <w:t>Timing is indicative and depends on debugging, scope and the quality of generated code. Prioritise working, tested increments over a calendar deadline.</w:t>
      </w:r>
    </w:p>
    <w:p>
      <w:pPr>
        <w:pStyle w:val="Heading1"/>
      </w:pPr>
      <w:r>
        <w:t>10. Development environment and first prompt</w:t>
      </w:r>
    </w:p>
    <w:p>
      <w:r>
        <w:t>Development device: Steam Deck in Desktop Mode. Antigravity is the intended coding agent. REA is optional and should be used selectively for competitor research and publicly observable workflows.</w:t>
      </w:r>
    </w:p>
    <w:p>
      <w:r>
        <w:t>First verify the available tools:</w:t>
      </w:r>
    </w:p>
    <w:p>
      <w:r>
        <w:rPr>
          <w:rFonts w:ascii="Consolas" w:hAnsi="Consolas"/>
          <w:sz w:val="18"/>
        </w:rPr>
        <w:t>node --version</w:t>
        <w:br/>
        <w:t>npm --version</w:t>
        <w:br/>
        <w:t>python3 --version</w:t>
        <w:br/>
        <w:t>git --version</w:t>
      </w:r>
    </w:p>
    <w:p>
      <w:r>
        <w:t>If installing REA, verify its current requirements and setup instructions first. The setup command discussed was:</w:t>
      </w:r>
    </w:p>
    <w:p>
      <w:r>
        <w:rPr>
          <w:rFonts w:ascii="Consolas" w:hAnsi="Consolas"/>
          <w:sz w:val="18"/>
        </w:rPr>
        <w:t>npx rea-agents@latest setup</w:t>
      </w:r>
    </w:p>
    <w:p>
      <w:r>
        <w:t>Use only if the current official instructions confirm the command and a supported Antigravity integration. Review configuration changes before approving them.</w:t>
      </w:r>
    </w:p>
    <w:p>
      <w:pPr>
        <w:pStyle w:val="Heading2"/>
      </w:pPr>
      <w:r>
        <w:t>Starter prompt for Antigravity</w:t>
      </w:r>
    </w:p>
    <w:p>
      <w:pPr>
        <w:ind w:left="288" w:right="288"/>
      </w:pPr>
      <w:r>
        <w:rPr>
          <w:i/>
          <w:sz w:val="18"/>
        </w:rPr>
        <w:t>I am starting Warrantifi, a consumer warranty and product tracker. My development machine is a Steam Deck running SteamOS in Desktop Mode.</w:t>
        <w:br/>
        <w:br/>
        <w:t>Use Next.js, React, TypeScript and Tailwind CSS for the frontend; Python FastAPI for the backend; SQLite through SQLAlchemy for local persistence; and Git for version control. Google Cloud is a future deployment target, not part of this first task.</w:t>
        <w:br/>
        <w:br/>
        <w:t>First inspect the available environment and report missing prerequisites. Create a clear frontend/backend project structure. Build a responsive dashboard with realistic sample warranty products and a FastAPI health endpoint. Run both locally and document the exact start/stop commands. Keep it small and debuggable. Do not add paid APIs, cloud services, authentication or AI yet. Inspect existing files before modifying them. Stop after this milestone and report what works, what failed and the next step.</w:t>
      </w:r>
    </w:p>
    <w:p>
      <w:pPr>
        <w:pStyle w:val="Heading1"/>
      </w:pPr>
      <w:r>
        <w:t>11. REA workflow for feature-specific research</w:t>
      </w:r>
    </w:p>
    <w:p>
      <w:r>
        <w:t>Use REA as a targeted research tool, not a requirement for every feature. Capabilities depend on the target and available adapters.</w:t>
      </w:r>
    </w:p>
    <w:p>
      <w:pPr>
        <w:pStyle w:val="ListNumber"/>
        <w:spacing w:after="40"/>
      </w:pPr>
      <w:r>
        <w:t>Investigate one observable workflow at a time, such as invoice scanning or the product dashboard.</w:t>
      </w:r>
    </w:p>
    <w:p>
      <w:pPr>
        <w:pStyle w:val="ListNumber"/>
        <w:spacing w:after="40"/>
      </w:pPr>
      <w:r>
        <w:t>Ask for observed behavior, evidence, limitations and a concise functional specification. Separate observation from assumption.</w:t>
      </w:r>
    </w:p>
    <w:p>
      <w:pPr>
        <w:pStyle w:val="ListNumber"/>
        <w:spacing w:after="40"/>
      </w:pPr>
      <w:r>
        <w:t>Give that specification to Antigravity in a separate implementation task.</w:t>
      </w:r>
    </w:p>
    <w:p>
      <w:pPr>
        <w:pStyle w:val="ListNumber"/>
        <w:spacing w:after="40"/>
      </w:pPr>
      <w:r>
        <w:t>Ask Antigravity to implement an original design in the Warrantifi repository and test it against acceptance criteria.</w:t>
      </w:r>
    </w:p>
    <w:p>
      <w:pPr>
        <w:pStyle w:val="ListNumber"/>
        <w:spacing w:after="40"/>
      </w:pPr>
      <w:r>
        <w:t>Do not bypass authentication, access private systems, or copy proprietary code, branding or protected assets.</w:t>
      </w:r>
    </w:p>
    <w:p>
      <w:r>
        <w:t>Example research prompt:</w:t>
      </w:r>
    </w:p>
    <w:p>
      <w:pPr>
        <w:ind w:left="288"/>
      </w:pPr>
      <w:r>
        <w:rPr>
          <w:i/>
          <w:sz w:val="18"/>
        </w:rPr>
        <w:t>Use REA where supported to investigate publicly accessible invoice-scanning workflows in apps I am authorized to examine. Document the visible steps, fields, error handling and uncertain behavior. Do not assume private backend details. Produce a functional specification only; do not modify my code yet.</w:t>
      </w:r>
    </w:p>
    <w:p>
      <w:pPr>
        <w:pStyle w:val="Heading1"/>
      </w:pPr>
      <w:r>
        <w:t>12. Google Cloud and cost strategy</w:t>
      </w:r>
    </w:p>
    <w:p>
      <w:r>
        <w:t>Build locally first. There is no need for a public cloud service to create the initial UI or local tracker. Check current eligibility and terms for Google Cloud credits before enrolling, because trial windows and benefits can have conditions or expiry dates.</w:t>
      </w:r>
    </w:p>
    <w:p>
      <w:pPr>
        <w:pStyle w:val="ListBullet"/>
        <w:spacing w:after="40"/>
      </w:pPr>
      <w:r>
        <w:t>Check whether the Jio-linked Google AI Pro subscription qualifies for a Google Developer Program cloud benefit; verify eligibility in the relevant account.</w:t>
      </w:r>
    </w:p>
    <w:p>
      <w:pPr>
        <w:pStyle w:val="ListBullet"/>
        <w:spacing w:after="40"/>
      </w:pPr>
      <w:r>
        <w:t>Keep any new-customer trial separate in your planning and read the current expiry and upgrade conditions before starting.</w:t>
      </w:r>
    </w:p>
    <w:p>
      <w:pPr>
        <w:pStyle w:val="ListBullet"/>
        <w:spacing w:after="40"/>
      </w:pPr>
      <w:r>
        <w:t>Deploy to Cloud Run only when a public URL or shared backend is needed.</w:t>
      </w:r>
    </w:p>
    <w:p>
      <w:pPr>
        <w:pStyle w:val="ListBullet"/>
        <w:spacing w:after="40"/>
      </w:pPr>
      <w:r>
        <w:t>Budget separately for managed PostgreSQL, document/object storage, logs and AI API usage.</w:t>
      </w:r>
    </w:p>
    <w:p>
      <w:pPr>
        <w:pStyle w:val="ListBullet"/>
        <w:spacing w:after="40"/>
      </w:pPr>
      <w:r>
        <w:t>Set budget alerts and inspect actual usage; alerts are not necessarily a hard spending cap.</w:t>
      </w:r>
    </w:p>
    <w:p>
      <w:pPr>
        <w:pStyle w:val="ListBullet"/>
        <w:spacing w:after="40"/>
      </w:pPr>
      <w:r>
        <w:t>Remember that a consumer AI subscription does not automatically include API usage.</w:t>
      </w:r>
    </w:p>
    <w:tbl>
      <w:tblPr>
        <w:tblW w:type="auto" w:w="0"/>
        <w:tblLook w:firstColumn="1" w:firstRow="1" w:lastColumn="0" w:lastRow="0" w:noHBand="0" w:noVBand="1" w:val="04A0"/>
      </w:tblPr>
      <w:tblGrid>
        <w:gridCol w:w="9936"/>
      </w:tblGrid>
      <w:tr>
        <w:tc>
          <w:tcPr>
            <w:tcW w:type="dxa" w:w="9936"/>
            <w:shd w:fill="EAF2F5"/>
          </w:tcPr>
          <w:p>
            <w:pPr>
              <w:spacing w:after="60"/>
            </w:pPr>
            <w:r/>
            <w:r>
              <w:rPr>
                <w:b/>
                <w:color w:val="16364D"/>
                <w:sz w:val="20"/>
              </w:rPr>
              <w:t>Cost posture</w:t>
              <w:br/>
            </w:r>
            <w:r>
              <w:rPr>
                <w:sz w:val="18"/>
              </w:rPr>
              <w:t>Prototype locally at near-zero cloud hosting cost. Use credits during cloud testing when eligible. Move to paid resources only when the feature or user demand justifies it.</w:t>
            </w:r>
          </w:p>
        </w:tc>
      </w:tr>
    </w:tbl>
    <w:p/>
    <w:p>
      <w:pPr>
        <w:pStyle w:val="Heading1"/>
      </w:pPr>
      <w:r>
        <w:t>13. Naming and brand exploration</w:t>
      </w:r>
    </w:p>
    <w:p>
      <w:r>
        <w:t>The working name discussed is Warrantifi. Other candidates explored:</w:t>
      </w:r>
    </w:p>
    <w:p>
      <w:pPr>
        <w:pStyle w:val="ListBullet"/>
        <w:spacing w:after="40"/>
      </w:pPr>
      <w:r>
        <w:t>Warrantiq / WarrantIQ</w:t>
      </w:r>
    </w:p>
    <w:p>
      <w:pPr>
        <w:pStyle w:val="ListBullet"/>
        <w:spacing w:after="40"/>
      </w:pPr>
      <w:r>
        <w:t>Warrify</w:t>
      </w:r>
    </w:p>
    <w:p>
      <w:pPr>
        <w:pStyle w:val="ListBullet"/>
        <w:spacing w:after="40"/>
      </w:pPr>
      <w:r>
        <w:t>Warrantly</w:t>
      </w:r>
    </w:p>
    <w:p>
      <w:pPr>
        <w:pStyle w:val="ListBullet"/>
        <w:spacing w:after="40"/>
      </w:pPr>
      <w:r>
        <w:t>Warrwise</w:t>
      </w:r>
    </w:p>
    <w:p>
      <w:pPr>
        <w:pStyle w:val="ListBullet"/>
        <w:spacing w:after="40"/>
      </w:pPr>
      <w:r>
        <w:t>Warranest</w:t>
      </w:r>
    </w:p>
    <w:p>
      <w:pPr>
        <w:pStyle w:val="ListBullet"/>
        <w:spacing w:after="40"/>
      </w:pPr>
      <w:r>
        <w:t>Warrantra</w:t>
      </w:r>
    </w:p>
    <w:p>
      <w:pPr>
        <w:pStyle w:val="ListBullet"/>
        <w:spacing w:after="40"/>
      </w:pPr>
      <w:r>
        <w:t>Warrio</w:t>
      </w:r>
    </w:p>
    <w:p>
      <w:pPr>
        <w:pStyle w:val="ListBullet"/>
        <w:spacing w:after="40"/>
      </w:pPr>
      <w:r>
        <w:t>Warranex</w:t>
      </w:r>
    </w:p>
    <w:p>
      <w:pPr>
        <w:pStyle w:val="ListBullet"/>
        <w:spacing w:after="40"/>
      </w:pPr>
      <w:r>
        <w:t>Owna</w:t>
      </w:r>
    </w:p>
    <w:p>
      <w:pPr>
        <w:pStyle w:val="ListBullet"/>
        <w:spacing w:after="40"/>
      </w:pPr>
      <w:r>
        <w:t>Vaultly</w:t>
      </w:r>
    </w:p>
    <w:p>
      <w:pPr>
        <w:pStyle w:val="ListBullet"/>
        <w:spacing w:after="40"/>
      </w:pPr>
      <w:r>
        <w:t>Ownwise</w:t>
      </w:r>
    </w:p>
    <w:p>
      <w:r>
        <w:t>Warrantifi was liked for its warranty-specific and startup-like feel; Warrantiq was also considered strong for an intelligence-led product. Neither name has been legally cleared.</w:t>
      </w:r>
    </w:p>
    <w:p>
      <w:pPr>
        <w:pStyle w:val="Heading2"/>
      </w:pPr>
      <w:r>
        <w:t>Trademark and availability checks</w:t>
      </w:r>
    </w:p>
    <w:p>
      <w:pPr>
        <w:pStyle w:val="ListBullet"/>
        <w:spacing w:after="40"/>
      </w:pPr>
      <w:r>
        <w:t>Search exact and similar/phonetic marks in the official Indian trademark registry, including pending and registered marks.</w:t>
      </w:r>
    </w:p>
    <w:p>
      <w:pPr>
        <w:pStyle w:val="ListBullet"/>
        <w:spacing w:after="40"/>
      </w:pPr>
      <w:r>
        <w:t>Check relevant goods/services classes; classes 9 and 42 may be relevant, but exact descriptions need confirmation.</w:t>
      </w:r>
    </w:p>
    <w:p>
      <w:pPr>
        <w:pStyle w:val="ListBullet"/>
        <w:spacing w:after="40"/>
      </w:pPr>
      <w:r>
        <w:t>Review owners, status and scope of similar marks, not just exact matches.</w:t>
      </w:r>
    </w:p>
    <w:p>
      <w:pPr>
        <w:pStyle w:val="ListBullet"/>
        <w:spacing w:after="40"/>
      </w:pPr>
      <w:r>
        <w:t>Check .com/.in domains, app stores and social handles separately.</w:t>
      </w:r>
    </w:p>
    <w:p>
      <w:pPr>
        <w:pStyle w:val="ListBullet"/>
        <w:spacing w:after="40"/>
      </w:pPr>
      <w:r>
        <w:t>Have a trademark professional review the result before committing to brand investment or launch.</w:t>
      </w:r>
    </w:p>
    <w:p>
      <w:r>
        <w:rPr>
          <w:b/>
        </w:rPr>
        <w:t xml:space="preserve">Official Indian public trademark search: </w:t>
      </w:r>
      <w:r>
        <w:t>https://tmrsearch.ipindia.gov.in/tmrpublicsearch</w:t>
      </w:r>
    </w:p>
    <w:p>
      <w:r>
        <w:rPr>
          <w:b/>
        </w:rPr>
        <w:t xml:space="preserve">Official trademark search guidance: </w:t>
      </w:r>
      <w:r>
        <w:t>https://ipindia.gov.in/trade-marks-before-you-apply-search-existing-trademarks</w:t>
      </w:r>
    </w:p>
    <w:p>
      <w:pPr>
        <w:pStyle w:val="Heading1"/>
      </w:pPr>
      <w:r>
        <w:t>14. Monetisation hypotheses</w:t>
      </w:r>
    </w:p>
    <w:p>
      <w:r>
        <w:t>No pricing decision has been validated. Possible future approach: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64D"/>
          </w:tcPr>
          <w:p>
            <w:pPr>
              <w:spacing w:after="20"/>
            </w:pPr>
            <w:r/>
            <w:r>
              <w:rPr>
                <w:rFonts w:ascii="Aptos" w:hAnsi="Aptos"/>
                <w:b/>
                <w:color w:val="FFFFFF"/>
                <w:sz w:val="18"/>
              </w:rPr>
              <w:t>Tier</w:t>
            </w:r>
          </w:p>
        </w:tc>
        <w:tc>
          <w:tcPr>
            <w:tcW w:type="dxa" w:w="3312"/>
            <w:vAlign w:val="center"/>
            <w:shd w:fill="16364D"/>
          </w:tcPr>
          <w:p>
            <w:pPr>
              <w:spacing w:after="20"/>
            </w:pPr>
            <w:r/>
            <w:r>
              <w:rPr>
                <w:rFonts w:ascii="Aptos" w:hAnsi="Aptos"/>
                <w:b/>
                <w:color w:val="FFFFFF"/>
                <w:sz w:val="18"/>
              </w:rPr>
              <w:t>Possible scope</w:t>
            </w:r>
          </w:p>
        </w:tc>
        <w:tc>
          <w:tcPr>
            <w:tcW w:type="dxa" w:w="3312"/>
            <w:vAlign w:val="center"/>
            <w:shd w:fill="16364D"/>
          </w:tcPr>
          <w:p>
            <w:pPr>
              <w:spacing w:after="20"/>
            </w:pPr>
            <w:r/>
            <w:r>
              <w:rPr>
                <w:rFonts w:ascii="Aptos" w:hAnsi="Aptos"/>
                <w:b/>
                <w:color w:val="FFFFFF"/>
                <w:sz w:val="18"/>
              </w:rPr>
              <w:t>Principle</w:t>
            </w:r>
          </w:p>
        </w:tc>
      </w:tr>
      <w:tr>
        <w:tc>
          <w:tcPr>
            <w:tcW w:type="dxa" w:w="3312"/>
            <w:vAlign w:val="center"/>
          </w:tcPr>
          <w:p>
            <w:pPr>
              <w:spacing w:after="20"/>
            </w:pPr>
            <w:r/>
            <w:r>
              <w:rPr>
                <w:rFonts w:ascii="Aptos" w:hAnsi="Aptos"/>
                <w:b w:val="0"/>
                <w:sz w:val="18"/>
              </w:rPr>
              <w:t>Free</w:t>
            </w:r>
          </w:p>
        </w:tc>
        <w:tc>
          <w:tcPr>
            <w:tcW w:type="dxa" w:w="3312"/>
            <w:vAlign w:val="center"/>
          </w:tcPr>
          <w:p>
            <w:pPr>
              <w:spacing w:after="20"/>
            </w:pPr>
            <w:r/>
            <w:r>
              <w:rPr>
                <w:rFonts w:ascii="Aptos" w:hAnsi="Aptos"/>
                <w:b w:val="0"/>
                <w:sz w:val="18"/>
              </w:rPr>
              <w:t>Basic product vault, warranty dates and core reminders</w:t>
            </w:r>
          </w:p>
        </w:tc>
        <w:tc>
          <w:tcPr>
            <w:tcW w:type="dxa" w:w="3312"/>
            <w:vAlign w:val="center"/>
          </w:tcPr>
          <w:p>
            <w:pPr>
              <w:spacing w:after="20"/>
            </w:pPr>
            <w:r/>
            <w:r>
              <w:rPr>
                <w:rFonts w:ascii="Aptos" w:hAnsi="Aptos"/>
                <w:b w:val="0"/>
                <w:sz w:val="18"/>
              </w:rPr>
              <w:t>The product must be useful without paying.</w:t>
            </w:r>
          </w:p>
        </w:tc>
      </w:tr>
      <w:tr>
        <w:tc>
          <w:tcPr>
            <w:tcW w:type="dxa" w:w="3312"/>
            <w:vAlign w:val="center"/>
            <w:shd w:fill="F1F5F7"/>
          </w:tcPr>
          <w:p>
            <w:pPr>
              <w:spacing w:after="20"/>
            </w:pPr>
            <w:r/>
            <w:r>
              <w:rPr>
                <w:rFonts w:ascii="Aptos" w:hAnsi="Aptos"/>
                <w:b w:val="0"/>
                <w:sz w:val="18"/>
              </w:rPr>
              <w:t>Premium</w:t>
            </w:r>
          </w:p>
        </w:tc>
        <w:tc>
          <w:tcPr>
            <w:tcW w:type="dxa" w:w="3312"/>
            <w:vAlign w:val="center"/>
            <w:shd w:fill="F1F5F7"/>
          </w:tcPr>
          <w:p>
            <w:pPr>
              <w:spacing w:after="20"/>
            </w:pPr>
            <w:r/>
            <w:r>
              <w:rPr>
                <w:rFonts w:ascii="Aptos" w:hAnsi="Aptos"/>
                <w:b w:val="0"/>
                <w:sz w:val="18"/>
              </w:rPr>
              <w:t>Higher product/document limits, AI extraction, AI chat/insights, household sharing and richer history</w:t>
            </w:r>
          </w:p>
        </w:tc>
        <w:tc>
          <w:tcPr>
            <w:tcW w:type="dxa" w:w="3312"/>
            <w:vAlign w:val="center"/>
            <w:shd w:fill="F1F5F7"/>
          </w:tcPr>
          <w:p>
            <w:pPr>
              <w:spacing w:after="20"/>
            </w:pPr>
            <w:r/>
            <w:r>
              <w:rPr>
                <w:rFonts w:ascii="Aptos" w:hAnsi="Aptos"/>
                <w:b w:val="0"/>
                <w:sz w:val="18"/>
              </w:rPr>
              <w:t>Charge for ongoing value, not for access to basic support links.</w:t>
            </w:r>
          </w:p>
        </w:tc>
      </w:tr>
      <w:tr>
        <w:tc>
          <w:tcPr>
            <w:tcW w:type="dxa" w:w="3312"/>
            <w:vAlign w:val="center"/>
          </w:tcPr>
          <w:p>
            <w:pPr>
              <w:spacing w:after="20"/>
            </w:pPr>
            <w:r/>
            <w:r>
              <w:rPr>
                <w:rFonts w:ascii="Aptos" w:hAnsi="Aptos"/>
                <w:b w:val="0"/>
                <w:sz w:val="18"/>
              </w:rPr>
              <w:t>Future partnerships</w:t>
            </w:r>
          </w:p>
        </w:tc>
        <w:tc>
          <w:tcPr>
            <w:tcW w:type="dxa" w:w="3312"/>
            <w:vAlign w:val="center"/>
          </w:tcPr>
          <w:p>
            <w:pPr>
              <w:spacing w:after="20"/>
            </w:pPr>
            <w:r/>
            <w:r>
              <w:rPr>
                <w:rFonts w:ascii="Aptos" w:hAnsi="Aptos"/>
                <w:b w:val="0"/>
                <w:sz w:val="18"/>
              </w:rPr>
              <w:t>Relevant service providers, retailers or maintenance partners</w:t>
            </w:r>
          </w:p>
        </w:tc>
        <w:tc>
          <w:tcPr>
            <w:tcW w:type="dxa" w:w="3312"/>
            <w:vAlign w:val="center"/>
          </w:tcPr>
          <w:p>
            <w:pPr>
              <w:spacing w:after="20"/>
            </w:pPr>
            <w:r/>
            <w:r>
              <w:rPr>
                <w:rFonts w:ascii="Aptos" w:hAnsi="Aptos"/>
                <w:b w:val="0"/>
                <w:sz w:val="18"/>
              </w:rPr>
              <w:t>Only pursue after user trust and demand are established.</w:t>
            </w:r>
          </w:p>
        </w:tc>
      </w:tr>
    </w:tbl>
    <w:p/>
    <w:p>
      <w:pPr>
        <w:pStyle w:val="Heading1"/>
      </w:pPr>
      <w:r>
        <w:t>15. Risks and validation questions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364D"/>
          </w:tcPr>
          <w:p>
            <w:pPr>
              <w:spacing w:after="20"/>
            </w:pPr>
            <w:r/>
            <w:r>
              <w:rPr>
                <w:rFonts w:ascii="Aptos" w:hAnsi="Aptos"/>
                <w:b/>
                <w:color w:val="FFFFFF"/>
                <w:sz w:val="18"/>
              </w:rPr>
              <w:t>Risk / question</w:t>
            </w:r>
          </w:p>
        </w:tc>
        <w:tc>
          <w:tcPr>
            <w:tcW w:type="dxa" w:w="4968"/>
            <w:vAlign w:val="center"/>
            <w:shd w:fill="16364D"/>
          </w:tcPr>
          <w:p>
            <w:pPr>
              <w:spacing w:after="20"/>
            </w:pPr>
            <w:r/>
            <w:r>
              <w:rPr>
                <w:rFonts w:ascii="Aptos" w:hAnsi="Aptos"/>
                <w:b/>
                <w:color w:val="FFFFFF"/>
                <w:sz w:val="18"/>
              </w:rPr>
              <w:t>Mitigation or validation</w:t>
            </w:r>
          </w:p>
        </w:tc>
      </w:tr>
      <w:tr>
        <w:tc>
          <w:tcPr>
            <w:tcW w:type="dxa" w:w="4968"/>
            <w:vAlign w:val="center"/>
          </w:tcPr>
          <w:p>
            <w:pPr>
              <w:spacing w:after="20"/>
            </w:pPr>
            <w:r/>
            <w:r>
              <w:rPr>
                <w:rFonts w:ascii="Aptos" w:hAnsi="Aptos"/>
                <w:b w:val="0"/>
                <w:sz w:val="18"/>
              </w:rPr>
              <w:t>Existing competition</w:t>
            </w:r>
          </w:p>
        </w:tc>
        <w:tc>
          <w:tcPr>
            <w:tcW w:type="dxa" w:w="4968"/>
            <w:vAlign w:val="center"/>
          </w:tcPr>
          <w:p>
            <w:pPr>
              <w:spacing w:after="20"/>
            </w:pPr>
            <w:r/>
            <w:r>
              <w:rPr>
                <w:rFonts w:ascii="Aptos" w:hAnsi="Aptos"/>
                <w:b w:val="0"/>
                <w:sz w:val="18"/>
              </w:rPr>
              <w:t>Review current competitor apps and user reviews; don't assume a feature gap.</w:t>
            </w:r>
          </w:p>
        </w:tc>
      </w:tr>
      <w:tr>
        <w:tc>
          <w:tcPr>
            <w:tcW w:type="dxa" w:w="4968"/>
            <w:vAlign w:val="center"/>
            <w:shd w:fill="F1F5F7"/>
          </w:tcPr>
          <w:p>
            <w:pPr>
              <w:spacing w:after="20"/>
            </w:pPr>
            <w:r/>
            <w:r>
              <w:rPr>
                <w:rFonts w:ascii="Aptos" w:hAnsi="Aptos"/>
                <w:b w:val="0"/>
                <w:sz w:val="18"/>
              </w:rPr>
              <w:t>Incorrect warranty dates</w:t>
            </w:r>
          </w:p>
        </w:tc>
        <w:tc>
          <w:tcPr>
            <w:tcW w:type="dxa" w:w="4968"/>
            <w:vAlign w:val="center"/>
            <w:shd w:fill="F1F5F7"/>
          </w:tcPr>
          <w:p>
            <w:pPr>
              <w:spacing w:after="20"/>
            </w:pPr>
            <w:r/>
            <w:r>
              <w:rPr>
                <w:rFonts w:ascii="Aptos" w:hAnsi="Aptos"/>
                <w:b w:val="0"/>
                <w:sz w:val="18"/>
              </w:rPr>
              <w:t>Preserve sources, flag uncertainty and require confirmation.</w:t>
            </w:r>
          </w:p>
        </w:tc>
      </w:tr>
      <w:tr>
        <w:tc>
          <w:tcPr>
            <w:tcW w:type="dxa" w:w="4968"/>
            <w:vAlign w:val="center"/>
          </w:tcPr>
          <w:p>
            <w:pPr>
              <w:spacing w:after="20"/>
            </w:pPr>
            <w:r/>
            <w:r>
              <w:rPr>
                <w:rFonts w:ascii="Aptos" w:hAnsi="Aptos"/>
                <w:b w:val="0"/>
                <w:sz w:val="18"/>
              </w:rPr>
              <w:t>Incorrect support contacts</w:t>
            </w:r>
          </w:p>
        </w:tc>
        <w:tc>
          <w:tcPr>
            <w:tcW w:type="dxa" w:w="4968"/>
            <w:vAlign w:val="center"/>
          </w:tcPr>
          <w:p>
            <w:pPr>
              <w:spacing w:after="20"/>
            </w:pPr>
            <w:r/>
            <w:r>
              <w:rPr>
                <w:rFonts w:ascii="Aptos" w:hAnsi="Aptos"/>
                <w:b w:val="0"/>
                <w:sz w:val="18"/>
              </w:rPr>
              <w:t>Use official sources, store verification dates and never invent details.</w:t>
            </w:r>
          </w:p>
        </w:tc>
      </w:tr>
      <w:tr>
        <w:tc>
          <w:tcPr>
            <w:tcW w:type="dxa" w:w="4968"/>
            <w:vAlign w:val="center"/>
            <w:shd w:fill="F1F5F7"/>
          </w:tcPr>
          <w:p>
            <w:pPr>
              <w:spacing w:after="20"/>
            </w:pPr>
            <w:r/>
            <w:r>
              <w:rPr>
                <w:rFonts w:ascii="Aptos" w:hAnsi="Aptos"/>
                <w:b w:val="0"/>
                <w:sz w:val="18"/>
              </w:rPr>
              <w:t>AI hallucination</w:t>
            </w:r>
          </w:p>
        </w:tc>
        <w:tc>
          <w:tcPr>
            <w:tcW w:type="dxa" w:w="4968"/>
            <w:vAlign w:val="center"/>
            <w:shd w:fill="F1F5F7"/>
          </w:tcPr>
          <w:p>
            <w:pPr>
              <w:spacing w:after="20"/>
            </w:pPr>
            <w:r/>
            <w:r>
              <w:rPr>
                <w:rFonts w:ascii="Aptos" w:hAnsi="Aptos"/>
                <w:b w:val="0"/>
                <w:sz w:val="18"/>
              </w:rPr>
              <w:t>Ground responses in user records/manuals and show source context.</w:t>
            </w:r>
          </w:p>
        </w:tc>
      </w:tr>
      <w:tr>
        <w:tc>
          <w:tcPr>
            <w:tcW w:type="dxa" w:w="4968"/>
            <w:vAlign w:val="center"/>
          </w:tcPr>
          <w:p>
            <w:pPr>
              <w:spacing w:after="20"/>
            </w:pPr>
            <w:r/>
            <w:r>
              <w:rPr>
                <w:rFonts w:ascii="Aptos" w:hAnsi="Aptos"/>
                <w:b w:val="0"/>
                <w:sz w:val="18"/>
              </w:rPr>
              <w:t>Sensitive receipts/documents</w:t>
            </w:r>
          </w:p>
        </w:tc>
        <w:tc>
          <w:tcPr>
            <w:tcW w:type="dxa" w:w="4968"/>
            <w:vAlign w:val="center"/>
          </w:tcPr>
          <w:p>
            <w:pPr>
              <w:spacing w:after="20"/>
            </w:pPr>
            <w:r/>
            <w:r>
              <w:rPr>
                <w:rFonts w:ascii="Aptos" w:hAnsi="Aptos"/>
                <w:b w:val="0"/>
                <w:sz w:val="18"/>
              </w:rPr>
              <w:t>Private storage, access control, secure secrets and user data deletion/export planning.</w:t>
            </w:r>
          </w:p>
        </w:tc>
      </w:tr>
      <w:tr>
        <w:tc>
          <w:tcPr>
            <w:tcW w:type="dxa" w:w="4968"/>
            <w:vAlign w:val="center"/>
            <w:shd w:fill="F1F5F7"/>
          </w:tcPr>
          <w:p>
            <w:pPr>
              <w:spacing w:after="20"/>
            </w:pPr>
            <w:r/>
            <w:r>
              <w:rPr>
                <w:rFonts w:ascii="Aptos" w:hAnsi="Aptos"/>
                <w:b w:val="0"/>
                <w:sz w:val="18"/>
              </w:rPr>
              <w:t>Cloud/API cost growth</w:t>
            </w:r>
          </w:p>
        </w:tc>
        <w:tc>
          <w:tcPr>
            <w:tcW w:type="dxa" w:w="4968"/>
            <w:vAlign w:val="center"/>
            <w:shd w:fill="F1F5F7"/>
          </w:tcPr>
          <w:p>
            <w:pPr>
              <w:spacing w:after="20"/>
            </w:pPr>
            <w:r/>
            <w:r>
              <w:rPr>
                <w:rFonts w:ascii="Aptos" w:hAnsi="Aptos"/>
                <w:b w:val="0"/>
                <w:sz w:val="18"/>
              </w:rPr>
              <w:t>OCR-first approach, selective model calls, budgets and usage tracking.</w:t>
            </w:r>
          </w:p>
        </w:tc>
      </w:tr>
      <w:tr>
        <w:tc>
          <w:tcPr>
            <w:tcW w:type="dxa" w:w="4968"/>
            <w:vAlign w:val="center"/>
          </w:tcPr>
          <w:p>
            <w:pPr>
              <w:spacing w:after="20"/>
            </w:pPr>
            <w:r/>
            <w:r>
              <w:rPr>
                <w:rFonts w:ascii="Aptos" w:hAnsi="Aptos"/>
                <w:b w:val="0"/>
                <w:sz w:val="18"/>
              </w:rPr>
              <w:t>Willingness to pay</w:t>
            </w:r>
          </w:p>
        </w:tc>
        <w:tc>
          <w:tcPr>
            <w:tcW w:type="dxa" w:w="4968"/>
            <w:vAlign w:val="center"/>
          </w:tcPr>
          <w:p>
            <w:pPr>
              <w:spacing w:after="20"/>
            </w:pPr>
            <w:r/>
            <w:r>
              <w:rPr>
                <w:rFonts w:ascii="Aptos" w:hAnsi="Aptos"/>
                <w:b w:val="0"/>
                <w:sz w:val="18"/>
              </w:rPr>
              <w:t>Interview target users and test a usable MVP before adding complex features.</w:t>
            </w:r>
          </w:p>
        </w:tc>
      </w:tr>
      <w:tr>
        <w:tc>
          <w:tcPr>
            <w:tcW w:type="dxa" w:w="4968"/>
            <w:vAlign w:val="center"/>
            <w:shd w:fill="F1F5F7"/>
          </w:tcPr>
          <w:p>
            <w:pPr>
              <w:spacing w:after="20"/>
            </w:pPr>
            <w:r/>
            <w:r>
              <w:rPr>
                <w:rFonts w:ascii="Aptos" w:hAnsi="Aptos"/>
                <w:b w:val="0"/>
                <w:sz w:val="18"/>
              </w:rPr>
              <w:t>Brand availability</w:t>
            </w:r>
          </w:p>
        </w:tc>
        <w:tc>
          <w:tcPr>
            <w:tcW w:type="dxa" w:w="4968"/>
            <w:vAlign w:val="center"/>
            <w:shd w:fill="F1F5F7"/>
          </w:tcPr>
          <w:p>
            <w:pPr>
              <w:spacing w:after="20"/>
            </w:pPr>
            <w:r/>
            <w:r>
              <w:rPr>
                <w:rFonts w:ascii="Aptos" w:hAnsi="Aptos"/>
                <w:b w:val="0"/>
                <w:sz w:val="18"/>
              </w:rPr>
              <w:t>Complete trademark/domain/app-store screening before public branding.</w:t>
            </w:r>
          </w:p>
        </w:tc>
      </w:tr>
    </w:tbl>
    <w:p/>
    <w:p>
      <w:pPr>
        <w:pStyle w:val="Heading1"/>
      </w:pPr>
      <w:r>
        <w:t>16. Immediate next actions</w:t>
      </w:r>
    </w:p>
    <w:p>
      <w:pPr>
        <w:pStyle w:val="ListNumber"/>
        <w:spacing w:after="40"/>
      </w:pPr>
      <w:r>
        <w:t>Decide whether Warrantifi remains the working name pending clearance.</w:t>
      </w:r>
    </w:p>
    <w:p>
      <w:pPr>
        <w:pStyle w:val="ListNumber"/>
        <w:spacing w:after="40"/>
      </w:pPr>
      <w:r>
        <w:t>Verify Node.js, npm, Python and Git on the Steam Deck.</w:t>
      </w:r>
    </w:p>
    <w:p>
      <w:pPr>
        <w:pStyle w:val="ListNumber"/>
        <w:spacing w:after="40"/>
      </w:pPr>
      <w:r>
        <w:t>Create the GitHub repository and initial README.</w:t>
      </w:r>
    </w:p>
    <w:p>
      <w:pPr>
        <w:pStyle w:val="ListNumber"/>
        <w:spacing w:after="40"/>
      </w:pPr>
      <w:r>
        <w:t>Use the starter prompt to build a local dashboard and API health endpoint.</w:t>
      </w:r>
    </w:p>
    <w:p>
      <w:pPr>
        <w:pStyle w:val="ListNumber"/>
        <w:spacing w:after="40"/>
      </w:pPr>
      <w:r>
        <w:t>Build manual product entry and local persistence before AI.</w:t>
      </w:r>
    </w:p>
    <w:p>
      <w:pPr>
        <w:pStyle w:val="ListNumber"/>
        <w:spacing w:after="40"/>
      </w:pPr>
      <w:r>
        <w:t>Test the product workflow with a small set of real-world product examples, using appropriately protected documents.</w:t>
      </w:r>
    </w:p>
    <w:p>
      <w:pPr>
        <w:pStyle w:val="ListNumber"/>
        <w:spacing w:after="40"/>
      </w:pPr>
      <w:r>
        <w:t>Research invoice extraction next, then add it only after the tracker is stable.</w:t>
      </w:r>
    </w:p>
    <w:p>
      <w:pPr>
        <w:pStyle w:val="ListNumber"/>
        <w:spacing w:after="40"/>
      </w:pPr>
      <w:r>
        <w:t>Check cloud-credit eligibility now, but delay cloud deployment and any trial start until the app needs it.</w:t>
      </w:r>
    </w:p>
    <w:p>
      <w:pPr>
        <w:pStyle w:val="ListNumber"/>
        <w:spacing w:after="40"/>
      </w:pPr>
      <w:r>
        <w:t>Use REA only for targeted, publicly observable competitor workflows and separate research from implementation.</w:t>
      </w:r>
    </w:p>
    <w:p>
      <w:pPr>
        <w:pStyle w:val="Heading1"/>
      </w:pPr>
      <w:r>
        <w:t>Appendix: Decisions captured so far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364D"/>
          </w:tcPr>
          <w:p>
            <w:pPr>
              <w:spacing w:after="20"/>
            </w:pPr>
            <w:r/>
            <w:r>
              <w:rPr>
                <w:rFonts w:ascii="Aptos" w:hAnsi="Aptos"/>
                <w:b/>
                <w:color w:val="FFFFFF"/>
                <w:sz w:val="18"/>
              </w:rPr>
              <w:t>Topic</w:t>
            </w:r>
          </w:p>
        </w:tc>
        <w:tc>
          <w:tcPr>
            <w:tcW w:type="dxa" w:w="4968"/>
            <w:vAlign w:val="center"/>
            <w:shd w:fill="16364D"/>
          </w:tcPr>
          <w:p>
            <w:pPr>
              <w:spacing w:after="20"/>
            </w:pPr>
            <w:r/>
            <w:r>
              <w:rPr>
                <w:rFonts w:ascii="Aptos" w:hAnsi="Aptos"/>
                <w:b/>
                <w:color w:val="FFFFFF"/>
                <w:sz w:val="18"/>
              </w:rPr>
              <w:t>Current direction</w:t>
            </w:r>
          </w:p>
        </w:tc>
      </w:tr>
      <w:tr>
        <w:tc>
          <w:tcPr>
            <w:tcW w:type="dxa" w:w="4968"/>
            <w:vAlign w:val="center"/>
          </w:tcPr>
          <w:p>
            <w:pPr>
              <w:spacing w:after="20"/>
            </w:pPr>
            <w:r/>
            <w:r>
              <w:rPr>
                <w:rFonts w:ascii="Aptos" w:hAnsi="Aptos"/>
                <w:b w:val="0"/>
                <w:sz w:val="18"/>
              </w:rPr>
              <w:t>Market</w:t>
            </w:r>
          </w:p>
        </w:tc>
        <w:tc>
          <w:tcPr>
            <w:tcW w:type="dxa" w:w="4968"/>
            <w:vAlign w:val="center"/>
          </w:tcPr>
          <w:p>
            <w:pPr>
              <w:spacing w:after="20"/>
            </w:pPr>
            <w:r/>
            <w:r>
              <w:rPr>
                <w:rFonts w:ascii="Aptos" w:hAnsi="Aptos"/>
                <w:b w:val="0"/>
                <w:sz w:val="18"/>
              </w:rPr>
              <w:t>India-first, everyday consumers.</w:t>
            </w:r>
          </w:p>
        </w:tc>
      </w:tr>
      <w:tr>
        <w:tc>
          <w:tcPr>
            <w:tcW w:type="dxa" w:w="4968"/>
            <w:vAlign w:val="center"/>
            <w:shd w:fill="F1F5F7"/>
          </w:tcPr>
          <w:p>
            <w:pPr>
              <w:spacing w:after="20"/>
            </w:pPr>
            <w:r/>
            <w:r>
              <w:rPr>
                <w:rFonts w:ascii="Aptos" w:hAnsi="Aptos"/>
                <w:b w:val="0"/>
                <w:sz w:val="18"/>
              </w:rPr>
              <w:t>Product scope</w:t>
            </w:r>
          </w:p>
        </w:tc>
        <w:tc>
          <w:tcPr>
            <w:tcW w:type="dxa" w:w="4968"/>
            <w:vAlign w:val="center"/>
            <w:shd w:fill="F1F5F7"/>
          </w:tcPr>
          <w:p>
            <w:pPr>
              <w:spacing w:after="20"/>
            </w:pPr>
            <w:r/>
            <w:r>
              <w:rPr>
                <w:rFonts w:ascii="Aptos" w:hAnsi="Aptos"/>
                <w:b w:val="0"/>
                <w:sz w:val="18"/>
              </w:rPr>
              <w:t>Tracker first; AI later.</w:t>
            </w:r>
          </w:p>
        </w:tc>
      </w:tr>
      <w:tr>
        <w:tc>
          <w:tcPr>
            <w:tcW w:type="dxa" w:w="4968"/>
            <w:vAlign w:val="center"/>
          </w:tcPr>
          <w:p>
            <w:pPr>
              <w:spacing w:after="20"/>
            </w:pPr>
            <w:r/>
            <w:r>
              <w:rPr>
                <w:rFonts w:ascii="Aptos" w:hAnsi="Aptos"/>
                <w:b w:val="0"/>
                <w:sz w:val="18"/>
              </w:rPr>
              <w:t>Claims</w:t>
            </w:r>
          </w:p>
        </w:tc>
        <w:tc>
          <w:tcPr>
            <w:tcW w:type="dxa" w:w="4968"/>
            <w:vAlign w:val="center"/>
          </w:tcPr>
          <w:p>
            <w:pPr>
              <w:spacing w:after="20"/>
            </w:pPr>
            <w:r/>
            <w:r>
              <w:rPr>
                <w:rFonts w:ascii="Aptos" w:hAnsi="Aptos"/>
                <w:b w:val="0"/>
                <w:sz w:val="18"/>
              </w:rPr>
              <w:t>No automatic claim submission in the initial product.</w:t>
            </w:r>
          </w:p>
        </w:tc>
      </w:tr>
      <w:tr>
        <w:tc>
          <w:tcPr>
            <w:tcW w:type="dxa" w:w="4968"/>
            <w:vAlign w:val="center"/>
            <w:shd w:fill="F1F5F7"/>
          </w:tcPr>
          <w:p>
            <w:pPr>
              <w:spacing w:after="20"/>
            </w:pPr>
            <w:r/>
            <w:r>
              <w:rPr>
                <w:rFonts w:ascii="Aptos" w:hAnsi="Aptos"/>
                <w:b w:val="0"/>
                <w:sz w:val="18"/>
              </w:rPr>
              <w:t>AI sequence</w:t>
            </w:r>
          </w:p>
        </w:tc>
        <w:tc>
          <w:tcPr>
            <w:tcW w:type="dxa" w:w="4968"/>
            <w:vAlign w:val="center"/>
            <w:shd w:fill="F1F5F7"/>
          </w:tcPr>
          <w:p>
            <w:pPr>
              <w:spacing w:after="20"/>
            </w:pPr>
            <w:r/>
            <w:r>
              <w:rPr>
                <w:rFonts w:ascii="Aptos" w:hAnsi="Aptos"/>
                <w:b w:val="0"/>
                <w:sz w:val="18"/>
              </w:rPr>
              <w:t>Invoice text extraction → grounded chat/insights → troubleshooting/diagnostics.</w:t>
            </w:r>
          </w:p>
        </w:tc>
      </w:tr>
      <w:tr>
        <w:tc>
          <w:tcPr>
            <w:tcW w:type="dxa" w:w="4968"/>
            <w:vAlign w:val="center"/>
          </w:tcPr>
          <w:p>
            <w:pPr>
              <w:spacing w:after="20"/>
            </w:pPr>
            <w:r/>
            <w:r>
              <w:rPr>
                <w:rFonts w:ascii="Aptos" w:hAnsi="Aptos"/>
                <w:b w:val="0"/>
                <w:sz w:val="18"/>
              </w:rPr>
              <w:t>Support</w:t>
            </w:r>
          </w:p>
        </w:tc>
        <w:tc>
          <w:tcPr>
            <w:tcW w:type="dxa" w:w="4968"/>
            <w:vAlign w:val="center"/>
          </w:tcPr>
          <w:p>
            <w:pPr>
              <w:spacing w:after="20"/>
            </w:pPr>
            <w:r/>
            <w:r>
              <w:rPr>
                <w:rFonts w:ascii="Aptos" w:hAnsi="Aptos"/>
                <w:b w:val="0"/>
                <w:sz w:val="18"/>
              </w:rPr>
              <w:t>Display verified official support contact information and manuals.</w:t>
            </w:r>
          </w:p>
        </w:tc>
      </w:tr>
      <w:tr>
        <w:tc>
          <w:tcPr>
            <w:tcW w:type="dxa" w:w="4968"/>
            <w:vAlign w:val="center"/>
            <w:shd w:fill="F1F5F7"/>
          </w:tcPr>
          <w:p>
            <w:pPr>
              <w:spacing w:after="20"/>
            </w:pPr>
            <w:r/>
            <w:r>
              <w:rPr>
                <w:rFonts w:ascii="Aptos" w:hAnsi="Aptos"/>
                <w:b w:val="0"/>
                <w:sz w:val="18"/>
              </w:rPr>
              <w:t>Frontend</w:t>
            </w:r>
          </w:p>
        </w:tc>
        <w:tc>
          <w:tcPr>
            <w:tcW w:type="dxa" w:w="4968"/>
            <w:vAlign w:val="center"/>
            <w:shd w:fill="F1F5F7"/>
          </w:tcPr>
          <w:p>
            <w:pPr>
              <w:spacing w:after="20"/>
            </w:pPr>
            <w:r/>
            <w:r>
              <w:rPr>
                <w:rFonts w:ascii="Aptos" w:hAnsi="Aptos"/>
                <w:b w:val="0"/>
                <w:sz w:val="18"/>
              </w:rPr>
              <w:t>Next.js + TypeScript + Tailwind CSS; PWA-first.</w:t>
            </w:r>
          </w:p>
        </w:tc>
      </w:tr>
      <w:tr>
        <w:tc>
          <w:tcPr>
            <w:tcW w:type="dxa" w:w="4968"/>
            <w:vAlign w:val="center"/>
          </w:tcPr>
          <w:p>
            <w:pPr>
              <w:spacing w:after="20"/>
            </w:pPr>
            <w:r/>
            <w:r>
              <w:rPr>
                <w:rFonts w:ascii="Aptos" w:hAnsi="Aptos"/>
                <w:b w:val="0"/>
                <w:sz w:val="18"/>
              </w:rPr>
              <w:t>Backend</w:t>
            </w:r>
          </w:p>
        </w:tc>
        <w:tc>
          <w:tcPr>
            <w:tcW w:type="dxa" w:w="4968"/>
            <w:vAlign w:val="center"/>
          </w:tcPr>
          <w:p>
            <w:pPr>
              <w:spacing w:after="20"/>
            </w:pPr>
            <w:r/>
            <w:r>
              <w:rPr>
                <w:rFonts w:ascii="Aptos" w:hAnsi="Aptos"/>
                <w:b w:val="0"/>
                <w:sz w:val="18"/>
              </w:rPr>
              <w:t>FastAPI + Python.</w:t>
            </w:r>
          </w:p>
        </w:tc>
      </w:tr>
      <w:tr>
        <w:tc>
          <w:tcPr>
            <w:tcW w:type="dxa" w:w="4968"/>
            <w:vAlign w:val="center"/>
            <w:shd w:fill="F1F5F7"/>
          </w:tcPr>
          <w:p>
            <w:pPr>
              <w:spacing w:after="20"/>
            </w:pPr>
            <w:r/>
            <w:r>
              <w:rPr>
                <w:rFonts w:ascii="Aptos" w:hAnsi="Aptos"/>
                <w:b w:val="0"/>
                <w:sz w:val="18"/>
              </w:rPr>
              <w:t>Local database</w:t>
            </w:r>
          </w:p>
        </w:tc>
        <w:tc>
          <w:tcPr>
            <w:tcW w:type="dxa" w:w="4968"/>
            <w:vAlign w:val="center"/>
            <w:shd w:fill="F1F5F7"/>
          </w:tcPr>
          <w:p>
            <w:pPr>
              <w:spacing w:after="20"/>
            </w:pPr>
            <w:r/>
            <w:r>
              <w:rPr>
                <w:rFonts w:ascii="Aptos" w:hAnsi="Aptos"/>
                <w:b w:val="0"/>
                <w:sz w:val="18"/>
              </w:rPr>
              <w:t>SQLite initially; PostgreSQL for hosted multi-user use.</w:t>
            </w:r>
          </w:p>
        </w:tc>
      </w:tr>
      <w:tr>
        <w:tc>
          <w:tcPr>
            <w:tcW w:type="dxa" w:w="4968"/>
            <w:vAlign w:val="center"/>
          </w:tcPr>
          <w:p>
            <w:pPr>
              <w:spacing w:after="20"/>
            </w:pPr>
            <w:r/>
            <w:r>
              <w:rPr>
                <w:rFonts w:ascii="Aptos" w:hAnsi="Aptos"/>
                <w:b w:val="0"/>
                <w:sz w:val="18"/>
              </w:rPr>
              <w:t>Cloud</w:t>
            </w:r>
          </w:p>
        </w:tc>
        <w:tc>
          <w:tcPr>
            <w:tcW w:type="dxa" w:w="4968"/>
            <w:vAlign w:val="center"/>
          </w:tcPr>
          <w:p>
            <w:pPr>
              <w:spacing w:after="20"/>
            </w:pPr>
            <w:r/>
            <w:r>
              <w:rPr>
                <w:rFonts w:ascii="Aptos" w:hAnsi="Aptos"/>
                <w:b w:val="0"/>
                <w:sz w:val="18"/>
              </w:rPr>
              <w:t>Google Cloud under consideration; build locally first.</w:t>
            </w:r>
          </w:p>
        </w:tc>
      </w:tr>
      <w:tr>
        <w:tc>
          <w:tcPr>
            <w:tcW w:type="dxa" w:w="4968"/>
            <w:vAlign w:val="center"/>
            <w:shd w:fill="F1F5F7"/>
          </w:tcPr>
          <w:p>
            <w:pPr>
              <w:spacing w:after="20"/>
            </w:pPr>
            <w:r/>
            <w:r>
              <w:rPr>
                <w:rFonts w:ascii="Aptos" w:hAnsi="Aptos"/>
                <w:b w:val="0"/>
                <w:sz w:val="18"/>
              </w:rPr>
              <w:t>Coding agent</w:t>
            </w:r>
          </w:p>
        </w:tc>
        <w:tc>
          <w:tcPr>
            <w:tcW w:type="dxa" w:w="4968"/>
            <w:vAlign w:val="center"/>
            <w:shd w:fill="F1F5F7"/>
          </w:tcPr>
          <w:p>
            <w:pPr>
              <w:spacing w:after="20"/>
            </w:pPr>
            <w:r/>
            <w:r>
              <w:rPr>
                <w:rFonts w:ascii="Aptos" w:hAnsi="Aptos"/>
                <w:b w:val="0"/>
                <w:sz w:val="18"/>
              </w:rPr>
              <w:t>Antigravity.</w:t>
            </w:r>
          </w:p>
        </w:tc>
      </w:tr>
      <w:tr>
        <w:tc>
          <w:tcPr>
            <w:tcW w:type="dxa" w:w="4968"/>
            <w:vAlign w:val="center"/>
          </w:tcPr>
          <w:p>
            <w:pPr>
              <w:spacing w:after="20"/>
            </w:pPr>
            <w:r/>
            <w:r>
              <w:rPr>
                <w:rFonts w:ascii="Aptos" w:hAnsi="Aptos"/>
                <w:b w:val="0"/>
                <w:sz w:val="18"/>
              </w:rPr>
              <w:t>Research tool</w:t>
            </w:r>
          </w:p>
        </w:tc>
        <w:tc>
          <w:tcPr>
            <w:tcW w:type="dxa" w:w="4968"/>
            <w:vAlign w:val="center"/>
          </w:tcPr>
          <w:p>
            <w:pPr>
              <w:spacing w:after="20"/>
            </w:pPr>
            <w:r/>
            <w:r>
              <w:rPr>
                <w:rFonts w:ascii="Aptos" w:hAnsi="Aptos"/>
                <w:b w:val="0"/>
                <w:sz w:val="18"/>
              </w:rPr>
              <w:t>REA, selectively and where supported.</w:t>
            </w:r>
          </w:p>
        </w:tc>
      </w:tr>
      <w:tr>
        <w:tc>
          <w:tcPr>
            <w:tcW w:type="dxa" w:w="4968"/>
            <w:vAlign w:val="center"/>
            <w:shd w:fill="F1F5F7"/>
          </w:tcPr>
          <w:p>
            <w:pPr>
              <w:spacing w:after="20"/>
            </w:pPr>
            <w:r/>
            <w:r>
              <w:rPr>
                <w:rFonts w:ascii="Aptos" w:hAnsi="Aptos"/>
                <w:b w:val="0"/>
                <w:sz w:val="18"/>
              </w:rPr>
              <w:t>Name</w:t>
            </w:r>
          </w:p>
        </w:tc>
        <w:tc>
          <w:tcPr>
            <w:tcW w:type="dxa" w:w="4968"/>
            <w:vAlign w:val="center"/>
            <w:shd w:fill="F1F5F7"/>
          </w:tcPr>
          <w:p>
            <w:pPr>
              <w:spacing w:after="20"/>
            </w:pPr>
            <w:r/>
            <w:r>
              <w:rPr>
                <w:rFonts w:ascii="Aptos" w:hAnsi="Aptos"/>
                <w:b w:val="0"/>
                <w:sz w:val="18"/>
              </w:rPr>
              <w:t>Warrantifi is a working candidate, not cleared.</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Warrantifi • Product &amp; Development Brief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2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27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5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5B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7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