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9940B" w14:textId="77777777" w:rsidR="00524736" w:rsidRPr="007A7A54" w:rsidRDefault="00000000">
      <w:pPr>
        <w:spacing w:after="40"/>
        <w:jc w:val="center"/>
        <w:rPr>
          <w:rFonts w:cs="Times New Roman"/>
          <w:color w:val="000000" w:themeColor="text1"/>
          <w:sz w:val="24"/>
          <w:szCs w:val="24"/>
        </w:rPr>
      </w:pPr>
      <w:r w:rsidRPr="007A7A54">
        <w:rPr>
          <w:rFonts w:cs="Times New Roman"/>
          <w:b/>
          <w:color w:val="000000" w:themeColor="text1"/>
          <w:sz w:val="24"/>
          <w:szCs w:val="24"/>
        </w:rPr>
        <w:t>EXPERIMENT 5 REPORT</w:t>
      </w:r>
    </w:p>
    <w:p w14:paraId="33A15D16" w14:textId="77777777" w:rsidR="00524736" w:rsidRPr="007A7A54" w:rsidRDefault="00000000">
      <w:pPr>
        <w:spacing w:after="80"/>
        <w:jc w:val="center"/>
        <w:rPr>
          <w:rFonts w:cs="Times New Roman"/>
          <w:color w:val="000000" w:themeColor="text1"/>
          <w:sz w:val="24"/>
          <w:szCs w:val="24"/>
        </w:rPr>
      </w:pPr>
      <w:r w:rsidRPr="007A7A54">
        <w:rPr>
          <w:rFonts w:cs="Times New Roman"/>
          <w:b/>
          <w:color w:val="000000" w:themeColor="text1"/>
          <w:sz w:val="24"/>
          <w:szCs w:val="24"/>
        </w:rPr>
        <w:t>Explainable AI (SHAP &amp; LIME) &amp; Algorithmic Fairness Auditing with Fairlearn</w:t>
      </w:r>
    </w:p>
    <w:p w14:paraId="578AFD97" w14:textId="77777777"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t>1. Aim &amp; Objectives</w:t>
      </w:r>
    </w:p>
    <w:p w14:paraId="0A2F7C33" w14:textId="77777777" w:rsidR="00524736" w:rsidRPr="007A7A54" w:rsidRDefault="00000000">
      <w:pPr>
        <w:rPr>
          <w:rFonts w:cs="Times New Roman"/>
          <w:color w:val="000000" w:themeColor="text1"/>
          <w:sz w:val="24"/>
          <w:szCs w:val="24"/>
        </w:rPr>
      </w:pPr>
      <w:r w:rsidRPr="007A7A54">
        <w:rPr>
          <w:rFonts w:cs="Times New Roman"/>
          <w:b/>
          <w:color w:val="000000" w:themeColor="text1"/>
          <w:sz w:val="24"/>
          <w:szCs w:val="24"/>
        </w:rPr>
        <w:t xml:space="preserve">Aim: </w:t>
      </w:r>
      <w:r w:rsidRPr="007A7A54">
        <w:rPr>
          <w:rFonts w:cs="Times New Roman"/>
          <w:color w:val="000000" w:themeColor="text1"/>
          <w:sz w:val="24"/>
          <w:szCs w:val="24"/>
        </w:rPr>
        <w:t>To apply explainable AI (XAI) methods (SHAP &amp; LIME) for interpreting model predictions and evaluate algorithmic fairness using Fairlearn.</w:t>
      </w:r>
    </w:p>
    <w:p w14:paraId="5ABC6B0C" w14:textId="77777777" w:rsidR="00524736" w:rsidRPr="007A7A54" w:rsidRDefault="00000000">
      <w:pPr>
        <w:rPr>
          <w:rFonts w:cs="Times New Roman"/>
          <w:color w:val="000000" w:themeColor="text1"/>
          <w:sz w:val="24"/>
          <w:szCs w:val="24"/>
        </w:rPr>
      </w:pPr>
      <w:r w:rsidRPr="007A7A54">
        <w:rPr>
          <w:rFonts w:cs="Times New Roman"/>
          <w:b/>
          <w:color w:val="000000" w:themeColor="text1"/>
          <w:sz w:val="24"/>
          <w:szCs w:val="24"/>
        </w:rPr>
        <w:t xml:space="preserve">Objectives: </w:t>
      </w:r>
      <w:r w:rsidRPr="007A7A54">
        <w:rPr>
          <w:rFonts w:cs="Times New Roman"/>
          <w:color w:val="000000" w:themeColor="text1"/>
          <w:sz w:val="24"/>
          <w:szCs w:val="24"/>
        </w:rPr>
        <w:t>The project fulfills five core research objectives:</w:t>
      </w:r>
    </w:p>
    <w:p w14:paraId="09637FE2"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1. Global &amp; Local Model Interpretability: </w:t>
      </w:r>
      <w:r w:rsidRPr="007A7A54">
        <w:rPr>
          <w:rFonts w:cs="Times New Roman"/>
          <w:color w:val="000000" w:themeColor="text1"/>
          <w:sz w:val="24"/>
          <w:szCs w:val="24"/>
        </w:rPr>
        <w:t>Extract feature importance, directional distributions, and sample-level waterfall attributions using SHAP.</w:t>
      </w:r>
    </w:p>
    <w:p w14:paraId="492DB062"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2. Local Surrogate Explanations: </w:t>
      </w:r>
      <w:r w:rsidRPr="007A7A54">
        <w:rPr>
          <w:rFonts w:cs="Times New Roman"/>
          <w:color w:val="000000" w:themeColor="text1"/>
          <w:sz w:val="24"/>
          <w:szCs w:val="24"/>
        </w:rPr>
        <w:t>Deploy LIME tabular explainers across distinct demographic profiles and assess cross-method concordance.</w:t>
      </w:r>
    </w:p>
    <w:p w14:paraId="78D46AAD"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3. Fairness Auditing across Protected Groups: </w:t>
      </w:r>
      <w:r w:rsidRPr="007A7A54">
        <w:rPr>
          <w:rFonts w:cs="Times New Roman"/>
          <w:color w:val="000000" w:themeColor="text1"/>
          <w:sz w:val="24"/>
          <w:szCs w:val="24"/>
        </w:rPr>
        <w:t>Quantify demographic parity, equalized odds, and disparate impact ratios across Sex and Race.</w:t>
      </w:r>
    </w:p>
    <w:p w14:paraId="080D6F34"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4. Tri-Modal Bias Mitigation: </w:t>
      </w:r>
      <w:r w:rsidRPr="007A7A54">
        <w:rPr>
          <w:rFonts w:cs="Times New Roman"/>
          <w:color w:val="000000" w:themeColor="text1"/>
          <w:sz w:val="24"/>
          <w:szCs w:val="24"/>
        </w:rPr>
        <w:t>Implement and benchmark sample reweighting (pre-processing), ExponentiatedGradient (in-processing), and ThresholdOptimizer (post-processing).</w:t>
      </w:r>
    </w:p>
    <w:p w14:paraId="066FD737"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5. Empirical Pareto Analysis: </w:t>
      </w:r>
      <w:r w:rsidRPr="007A7A54">
        <w:rPr>
          <w:rFonts w:cs="Times New Roman"/>
          <w:color w:val="000000" w:themeColor="text1"/>
          <w:sz w:val="24"/>
          <w:szCs w:val="24"/>
        </w:rPr>
        <w:t>Map the quantitative trade-off frontier between model predictive capacity and fairness equity.</w:t>
      </w:r>
    </w:p>
    <w:p w14:paraId="0BA00ABD" w14:textId="77777777"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t>2. Dataset Architecture &amp; Model Selection</w:t>
      </w:r>
    </w:p>
    <w:p w14:paraId="15C89927" w14:textId="77777777" w:rsidR="00524736" w:rsidRPr="007A7A54" w:rsidRDefault="00000000">
      <w:pPr>
        <w:rPr>
          <w:rFonts w:cs="Times New Roman"/>
          <w:color w:val="000000" w:themeColor="text1"/>
          <w:sz w:val="24"/>
          <w:szCs w:val="24"/>
        </w:rPr>
      </w:pPr>
      <w:r w:rsidRPr="007A7A54">
        <w:rPr>
          <w:rFonts w:cs="Times New Roman"/>
          <w:color w:val="000000" w:themeColor="text1"/>
          <w:sz w:val="24"/>
          <w:szCs w:val="24"/>
        </w:rPr>
        <w:t>We evaluated the gold-standard Adult Census Income dataset (32,561 records, 12 features) predicting whether an individual's annual income exceeds $50,000. Sensitive demographic attributes include Sex (66.9% Male, 33.1% Female) and Race (85.4% White, 14.6% Non-White). Following an 80/20 stratified partition, we benchmarked Random Forest against a champion LightGBM classifier. LightGBM achieved superior discrimination across all evaluation dimensions:</w:t>
      </w:r>
    </w:p>
    <w:p w14:paraId="4BA83240"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Champion LightGBM Classifier: </w:t>
      </w:r>
      <w:r w:rsidRPr="007A7A54">
        <w:rPr>
          <w:rFonts w:cs="Times New Roman"/>
          <w:color w:val="000000" w:themeColor="text1"/>
          <w:sz w:val="24"/>
          <w:szCs w:val="24"/>
        </w:rPr>
        <w:t>Accuracy: 87.69%, Balanced Accuracy: 80.65%, F1-Score: 0.7240, ROC-AUC: 0.9310.</w:t>
      </w:r>
    </w:p>
    <w:p w14:paraId="0E9CAD3A" w14:textId="77777777" w:rsidR="00524736" w:rsidRPr="007A7A54" w:rsidRDefault="00000000">
      <w:pPr>
        <w:pStyle w:val="ListBullet"/>
        <w:spacing w:after="40"/>
        <w:rPr>
          <w:rFonts w:cs="Times New Roman"/>
          <w:color w:val="000000" w:themeColor="text1"/>
          <w:sz w:val="24"/>
          <w:szCs w:val="24"/>
        </w:rPr>
      </w:pPr>
      <w:r w:rsidRPr="007A7A54">
        <w:rPr>
          <w:rFonts w:cs="Times New Roman"/>
          <w:b/>
          <w:color w:val="000000" w:themeColor="text1"/>
          <w:sz w:val="24"/>
          <w:szCs w:val="24"/>
        </w:rPr>
        <w:t xml:space="preserve">Random Forest Baseline: </w:t>
      </w:r>
      <w:r w:rsidRPr="007A7A54">
        <w:rPr>
          <w:rFonts w:cs="Times New Roman"/>
          <w:color w:val="000000" w:themeColor="text1"/>
          <w:sz w:val="24"/>
          <w:szCs w:val="24"/>
        </w:rPr>
        <w:t>Accuracy: 86.14%, Balanced Accuracy: 78.34%, F1-Score: 0.6601, ROC-AUC: 0.9203.</w:t>
      </w:r>
    </w:p>
    <w:p w14:paraId="2BAE33BB" w14:textId="77777777"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t>3. Global &amp; Local Interpretability with SHAP</w:t>
      </w:r>
    </w:p>
    <w:p w14:paraId="55036679" w14:textId="77777777" w:rsidR="00524736" w:rsidRPr="007A7A54" w:rsidRDefault="00000000">
      <w:pPr>
        <w:rPr>
          <w:rFonts w:cs="Times New Roman"/>
          <w:color w:val="000000" w:themeColor="text1"/>
          <w:sz w:val="24"/>
          <w:szCs w:val="24"/>
        </w:rPr>
      </w:pPr>
      <w:r w:rsidRPr="007A7A54">
        <w:rPr>
          <w:rFonts w:cs="Times New Roman"/>
          <w:color w:val="000000" w:themeColor="text1"/>
          <w:sz w:val="24"/>
          <w:szCs w:val="24"/>
        </w:rPr>
        <w:t>SHAP grounds model attributions in cooperative game theory, calculating the exact Shapley value for each feature over all possible feature permutations. This guarantees the four axiomatic properties of efficiency, symmetry, dummy player, and additivity.</w:t>
      </w:r>
    </w:p>
    <w:p w14:paraId="7E7F0C1E"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lastRenderedPageBreak/>
        <w:drawing>
          <wp:inline distT="0" distB="0" distL="0" distR="0" wp14:anchorId="5F9C9A99" wp14:editId="15E3CBB5">
            <wp:extent cx="5120640" cy="35001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shap_summary_bar.png"/>
                    <pic:cNvPicPr/>
                  </pic:nvPicPr>
                  <pic:blipFill>
                    <a:blip r:embed="rId6"/>
                    <a:stretch>
                      <a:fillRect/>
                    </a:stretch>
                  </pic:blipFill>
                  <pic:spPr>
                    <a:xfrm>
                      <a:off x="0" y="0"/>
                      <a:ext cx="5120640" cy="3500184"/>
                    </a:xfrm>
                    <a:prstGeom prst="rect">
                      <a:avLst/>
                    </a:prstGeom>
                  </pic:spPr>
                </pic:pic>
              </a:graphicData>
            </a:graphic>
          </wp:inline>
        </w:drawing>
      </w:r>
    </w:p>
    <w:p w14:paraId="6B00C4C5"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1: Global Feature Importance (Mean Absolute SHAP Value Ranking).</w:t>
      </w:r>
    </w:p>
    <w:p w14:paraId="1789ACBC"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drawing>
          <wp:inline distT="0" distB="0" distL="0" distR="0" wp14:anchorId="5F0A9659" wp14:editId="3436CBFE">
            <wp:extent cx="5303520" cy="4231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shap_beeswarm.png"/>
                    <pic:cNvPicPr/>
                  </pic:nvPicPr>
                  <pic:blipFill>
                    <a:blip r:embed="rId7"/>
                    <a:stretch>
                      <a:fillRect/>
                    </a:stretch>
                  </pic:blipFill>
                  <pic:spPr>
                    <a:xfrm>
                      <a:off x="0" y="0"/>
                      <a:ext cx="5303520" cy="4231895"/>
                    </a:xfrm>
                    <a:prstGeom prst="rect">
                      <a:avLst/>
                    </a:prstGeom>
                  </pic:spPr>
                </pic:pic>
              </a:graphicData>
            </a:graphic>
          </wp:inline>
        </w:drawing>
      </w:r>
    </w:p>
    <w:p w14:paraId="17B462D2"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2: SHAP Beeswarm Distribution (Feature Value Dispersion vs. Impact on Log-Odds).</w:t>
      </w:r>
    </w:p>
    <w:p w14:paraId="7E3FC071"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lastRenderedPageBreak/>
        <w:drawing>
          <wp:inline distT="0" distB="0" distL="0" distR="0" wp14:anchorId="353CAC2F" wp14:editId="73A669E7">
            <wp:extent cx="5120640" cy="33336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shap_dependence.png"/>
                    <pic:cNvPicPr/>
                  </pic:nvPicPr>
                  <pic:blipFill>
                    <a:blip r:embed="rId8"/>
                    <a:stretch>
                      <a:fillRect/>
                    </a:stretch>
                  </pic:blipFill>
                  <pic:spPr>
                    <a:xfrm>
                      <a:off x="0" y="0"/>
                      <a:ext cx="5120640" cy="3333632"/>
                    </a:xfrm>
                    <a:prstGeom prst="rect">
                      <a:avLst/>
                    </a:prstGeom>
                  </pic:spPr>
                </pic:pic>
              </a:graphicData>
            </a:graphic>
          </wp:inline>
        </w:drawing>
      </w:r>
    </w:p>
    <w:p w14:paraId="6EC6AB0E"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3: SHAP Dependence Plot for Age with Hours per Week Interaction.</w:t>
      </w:r>
    </w:p>
    <w:p w14:paraId="569D299A"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drawing>
          <wp:inline distT="0" distB="0" distL="0" distR="0" wp14:anchorId="5239B329" wp14:editId="0A9B09A2">
            <wp:extent cx="5120640" cy="41153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shap_waterfall.png"/>
                    <pic:cNvPicPr/>
                  </pic:nvPicPr>
                  <pic:blipFill>
                    <a:blip r:embed="rId9"/>
                    <a:stretch>
                      <a:fillRect/>
                    </a:stretch>
                  </pic:blipFill>
                  <pic:spPr>
                    <a:xfrm>
                      <a:off x="0" y="0"/>
                      <a:ext cx="5120640" cy="4115374"/>
                    </a:xfrm>
                    <a:prstGeom prst="rect">
                      <a:avLst/>
                    </a:prstGeom>
                  </pic:spPr>
                </pic:pic>
              </a:graphicData>
            </a:graphic>
          </wp:inline>
        </w:drawing>
      </w:r>
    </w:p>
    <w:p w14:paraId="6651D9FA"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4: Local SHAP Waterfall Attribution for Test Sample #0.</w:t>
      </w:r>
    </w:p>
    <w:p w14:paraId="6D242E46" w14:textId="77777777"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lastRenderedPageBreak/>
        <w:t>4. Local Explanations with LIME &amp; Cross-XAI Concordance</w:t>
      </w:r>
    </w:p>
    <w:p w14:paraId="20102732" w14:textId="77777777" w:rsidR="00524736" w:rsidRPr="007A7A54" w:rsidRDefault="00000000">
      <w:pPr>
        <w:rPr>
          <w:rFonts w:cs="Times New Roman"/>
          <w:color w:val="000000" w:themeColor="text1"/>
          <w:sz w:val="24"/>
          <w:szCs w:val="24"/>
        </w:rPr>
      </w:pPr>
      <w:r w:rsidRPr="007A7A54">
        <w:rPr>
          <w:rFonts w:cs="Times New Roman"/>
          <w:color w:val="000000" w:themeColor="text1"/>
          <w:sz w:val="24"/>
          <w:szCs w:val="24"/>
        </w:rPr>
        <w:t>LIME fits an interpretable sparse linear surrogate model within the localized neighborhood of individual target samples. We evaluated positive, negative, and borderline prediction profiles, observing clear decision boundaries based on education, age, and weekly work hours.</w:t>
      </w:r>
    </w:p>
    <w:p w14:paraId="26BC7511"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drawing>
          <wp:inline distT="0" distB="0" distL="0" distR="0" wp14:anchorId="78CD483E" wp14:editId="76595BCB">
            <wp:extent cx="5669280" cy="20181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lime_local_explanations.png"/>
                    <pic:cNvPicPr/>
                  </pic:nvPicPr>
                  <pic:blipFill>
                    <a:blip r:embed="rId10"/>
                    <a:stretch>
                      <a:fillRect/>
                    </a:stretch>
                  </pic:blipFill>
                  <pic:spPr>
                    <a:xfrm>
                      <a:off x="0" y="0"/>
                      <a:ext cx="5669280" cy="2018121"/>
                    </a:xfrm>
                    <a:prstGeom prst="rect">
                      <a:avLst/>
                    </a:prstGeom>
                  </pic:spPr>
                </pic:pic>
              </a:graphicData>
            </a:graphic>
          </wp:inline>
        </w:drawing>
      </w:r>
    </w:p>
    <w:p w14:paraId="26E3E717"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5: LIME Tabular Explanations Across Positive, Negative, and Borderline Profiles.</w:t>
      </w:r>
    </w:p>
    <w:p w14:paraId="10253600"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drawing>
          <wp:inline distT="0" distB="0" distL="0" distR="0" wp14:anchorId="5D2382E4" wp14:editId="36614051">
            <wp:extent cx="5120640" cy="31069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xai_shap_vs_lime_comparison.png"/>
                    <pic:cNvPicPr/>
                  </pic:nvPicPr>
                  <pic:blipFill>
                    <a:blip r:embed="rId11"/>
                    <a:stretch>
                      <a:fillRect/>
                    </a:stretch>
                  </pic:blipFill>
                  <pic:spPr>
                    <a:xfrm>
                      <a:off x="0" y="0"/>
                      <a:ext cx="5120640" cy="3106905"/>
                    </a:xfrm>
                    <a:prstGeom prst="rect">
                      <a:avLst/>
                    </a:prstGeom>
                  </pic:spPr>
                </pic:pic>
              </a:graphicData>
            </a:graphic>
          </wp:inline>
        </w:drawing>
      </w:r>
    </w:p>
    <w:p w14:paraId="7E954CE7"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6: Cross-XAI Concordance Audit Comparing SHAP and LIME on Sample #0.</w:t>
      </w:r>
    </w:p>
    <w:p w14:paraId="668F895E" w14:textId="77777777" w:rsidR="007A7A54" w:rsidRDefault="007A7A54">
      <w:pPr>
        <w:keepNext/>
        <w:spacing w:before="200" w:after="80"/>
        <w:rPr>
          <w:rFonts w:cs="Times New Roman"/>
          <w:b/>
          <w:color w:val="000000" w:themeColor="text1"/>
          <w:sz w:val="24"/>
          <w:szCs w:val="24"/>
        </w:rPr>
      </w:pPr>
    </w:p>
    <w:p w14:paraId="2B4FA86F" w14:textId="77777777" w:rsidR="007A7A54" w:rsidRDefault="007A7A54">
      <w:pPr>
        <w:keepNext/>
        <w:spacing w:before="200" w:after="80"/>
        <w:rPr>
          <w:rFonts w:cs="Times New Roman"/>
          <w:b/>
          <w:color w:val="000000" w:themeColor="text1"/>
          <w:sz w:val="24"/>
          <w:szCs w:val="24"/>
        </w:rPr>
      </w:pPr>
    </w:p>
    <w:p w14:paraId="7C6280D5" w14:textId="77777777" w:rsidR="007A7A54" w:rsidRDefault="007A7A54">
      <w:pPr>
        <w:keepNext/>
        <w:spacing w:before="200" w:after="80"/>
        <w:rPr>
          <w:rFonts w:cs="Times New Roman"/>
          <w:b/>
          <w:color w:val="000000" w:themeColor="text1"/>
          <w:sz w:val="24"/>
          <w:szCs w:val="24"/>
        </w:rPr>
      </w:pPr>
    </w:p>
    <w:p w14:paraId="7C14D62C" w14:textId="77777777" w:rsidR="007A7A54" w:rsidRDefault="007A7A54">
      <w:pPr>
        <w:keepNext/>
        <w:spacing w:before="200" w:after="80"/>
        <w:rPr>
          <w:rFonts w:cs="Times New Roman"/>
          <w:b/>
          <w:color w:val="000000" w:themeColor="text1"/>
          <w:sz w:val="24"/>
          <w:szCs w:val="24"/>
        </w:rPr>
      </w:pPr>
    </w:p>
    <w:p w14:paraId="40B42EE2" w14:textId="43786058"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t>5. Algorithmic Fairness Audit &amp; Tri-Modal Mitigation</w:t>
      </w:r>
    </w:p>
    <w:p w14:paraId="5B775C68" w14:textId="77777777" w:rsidR="00524736" w:rsidRPr="007A7A54" w:rsidRDefault="00000000">
      <w:pPr>
        <w:rPr>
          <w:rFonts w:cs="Times New Roman"/>
          <w:color w:val="000000" w:themeColor="text1"/>
          <w:sz w:val="24"/>
          <w:szCs w:val="24"/>
        </w:rPr>
      </w:pPr>
      <w:r w:rsidRPr="007A7A54">
        <w:rPr>
          <w:rFonts w:cs="Times New Roman"/>
          <w:color w:val="000000" w:themeColor="text1"/>
          <w:sz w:val="24"/>
          <w:szCs w:val="24"/>
        </w:rPr>
        <w:t>Fairlearn's MetricFrame revealed severe baseline demographic disparity: the unmitigated model predicted a 26.2% positive rate for male individuals compared to only 9.1% for females (Demographic Parity Difference = 0.1714; Disparate Impact Ratio = 0.346). We evaluated three distinct mitigation techniques to restore equity:</w:t>
      </w:r>
    </w:p>
    <w:tbl>
      <w:tblPr>
        <w:tblW w:w="0" w:type="auto"/>
        <w:jc w:val="center"/>
        <w:tblBorders>
          <w:top w:val="single" w:sz="4" w:space="0" w:color="D0D7DE"/>
          <w:bottom w:val="single" w:sz="4" w:space="0" w:color="D0D7DE"/>
          <w:insideH w:val="single" w:sz="4" w:space="0" w:color="D0D7DE"/>
        </w:tblBorders>
        <w:tblLook w:val="04A0" w:firstRow="1" w:lastRow="0" w:firstColumn="1" w:lastColumn="0" w:noHBand="0" w:noVBand="1"/>
      </w:tblPr>
      <w:tblGrid>
        <w:gridCol w:w="1399"/>
        <w:gridCol w:w="1399"/>
        <w:gridCol w:w="1399"/>
        <w:gridCol w:w="1399"/>
        <w:gridCol w:w="1399"/>
        <w:gridCol w:w="1399"/>
        <w:gridCol w:w="1399"/>
      </w:tblGrid>
      <w:tr w:rsidR="00524736" w:rsidRPr="007A7A54" w14:paraId="5BCC142B" w14:textId="77777777">
        <w:trPr>
          <w:jc w:val="center"/>
        </w:trPr>
        <w:tc>
          <w:tcPr>
            <w:tcW w:w="1399" w:type="dxa"/>
            <w:shd w:val="clear" w:color="auto" w:fill="1F4E78"/>
            <w:tcMar>
              <w:top w:w="80" w:type="dxa"/>
              <w:left w:w="60" w:type="dxa"/>
              <w:bottom w:w="80" w:type="dxa"/>
              <w:right w:w="60" w:type="dxa"/>
            </w:tcMar>
          </w:tcPr>
          <w:p w14:paraId="0D20E67D"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Model Pipeline</w:t>
            </w:r>
          </w:p>
        </w:tc>
        <w:tc>
          <w:tcPr>
            <w:tcW w:w="1399" w:type="dxa"/>
            <w:shd w:val="clear" w:color="auto" w:fill="1F4E78"/>
            <w:tcMar>
              <w:top w:w="80" w:type="dxa"/>
              <w:left w:w="60" w:type="dxa"/>
              <w:bottom w:w="80" w:type="dxa"/>
              <w:right w:w="60" w:type="dxa"/>
            </w:tcMar>
          </w:tcPr>
          <w:p w14:paraId="423701AE"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Accuracy</w:t>
            </w:r>
          </w:p>
        </w:tc>
        <w:tc>
          <w:tcPr>
            <w:tcW w:w="1399" w:type="dxa"/>
            <w:shd w:val="clear" w:color="auto" w:fill="1F4E78"/>
            <w:tcMar>
              <w:top w:w="80" w:type="dxa"/>
              <w:left w:w="60" w:type="dxa"/>
              <w:bottom w:w="80" w:type="dxa"/>
              <w:right w:w="60" w:type="dxa"/>
            </w:tcMar>
          </w:tcPr>
          <w:p w14:paraId="534859DC"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Bal Acc</w:t>
            </w:r>
          </w:p>
        </w:tc>
        <w:tc>
          <w:tcPr>
            <w:tcW w:w="1399" w:type="dxa"/>
            <w:shd w:val="clear" w:color="auto" w:fill="1F4E78"/>
            <w:tcMar>
              <w:top w:w="80" w:type="dxa"/>
              <w:left w:w="60" w:type="dxa"/>
              <w:bottom w:w="80" w:type="dxa"/>
              <w:right w:w="60" w:type="dxa"/>
            </w:tcMar>
          </w:tcPr>
          <w:p w14:paraId="19AC2B1C"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F1</w:t>
            </w:r>
          </w:p>
        </w:tc>
        <w:tc>
          <w:tcPr>
            <w:tcW w:w="1399" w:type="dxa"/>
            <w:shd w:val="clear" w:color="auto" w:fill="1F4E78"/>
            <w:tcMar>
              <w:top w:w="80" w:type="dxa"/>
              <w:left w:w="60" w:type="dxa"/>
              <w:bottom w:w="80" w:type="dxa"/>
              <w:right w:w="60" w:type="dxa"/>
            </w:tcMar>
          </w:tcPr>
          <w:p w14:paraId="7CFE9102"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DP Diff (Sex)</w:t>
            </w:r>
          </w:p>
        </w:tc>
        <w:tc>
          <w:tcPr>
            <w:tcW w:w="1399" w:type="dxa"/>
            <w:shd w:val="clear" w:color="auto" w:fill="1F4E78"/>
            <w:tcMar>
              <w:top w:w="80" w:type="dxa"/>
              <w:left w:w="60" w:type="dxa"/>
              <w:bottom w:w="80" w:type="dxa"/>
              <w:right w:w="60" w:type="dxa"/>
            </w:tcMar>
          </w:tcPr>
          <w:p w14:paraId="4D0DF0A3"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EO Diff (Sex)</w:t>
            </w:r>
          </w:p>
        </w:tc>
        <w:tc>
          <w:tcPr>
            <w:tcW w:w="1399" w:type="dxa"/>
            <w:shd w:val="clear" w:color="auto" w:fill="1F4E78"/>
            <w:tcMar>
              <w:top w:w="80" w:type="dxa"/>
              <w:left w:w="60" w:type="dxa"/>
              <w:bottom w:w="80" w:type="dxa"/>
              <w:right w:w="60" w:type="dxa"/>
            </w:tcMar>
          </w:tcPr>
          <w:p w14:paraId="2AD5813F" w14:textId="77777777" w:rsidR="00524736" w:rsidRPr="007A7A54" w:rsidRDefault="00000000">
            <w:pPr>
              <w:jc w:val="center"/>
              <w:rPr>
                <w:rFonts w:cs="Times New Roman"/>
                <w:color w:val="000000" w:themeColor="text1"/>
                <w:sz w:val="24"/>
                <w:szCs w:val="24"/>
              </w:rPr>
            </w:pPr>
            <w:r w:rsidRPr="007A7A54">
              <w:rPr>
                <w:rFonts w:cs="Times New Roman"/>
                <w:b/>
                <w:color w:val="000000" w:themeColor="text1"/>
                <w:sz w:val="24"/>
                <w:szCs w:val="24"/>
              </w:rPr>
              <w:t>DIR (Sex)</w:t>
            </w:r>
          </w:p>
        </w:tc>
      </w:tr>
      <w:tr w:rsidR="00524736" w:rsidRPr="007A7A54" w14:paraId="70893E89" w14:textId="77777777">
        <w:trPr>
          <w:jc w:val="center"/>
        </w:trPr>
        <w:tc>
          <w:tcPr>
            <w:tcW w:w="1399" w:type="dxa"/>
            <w:tcMar>
              <w:top w:w="60" w:type="dxa"/>
              <w:left w:w="50" w:type="dxa"/>
              <w:bottom w:w="60" w:type="dxa"/>
              <w:right w:w="50" w:type="dxa"/>
            </w:tcMar>
          </w:tcPr>
          <w:p w14:paraId="3F2E9DFF"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1. Baseline Unmitigated</w:t>
            </w:r>
          </w:p>
        </w:tc>
        <w:tc>
          <w:tcPr>
            <w:tcW w:w="1399" w:type="dxa"/>
            <w:tcMar>
              <w:top w:w="60" w:type="dxa"/>
              <w:left w:w="50" w:type="dxa"/>
              <w:bottom w:w="60" w:type="dxa"/>
              <w:right w:w="50" w:type="dxa"/>
            </w:tcMar>
          </w:tcPr>
          <w:p w14:paraId="7A701A72"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87.69%</w:t>
            </w:r>
          </w:p>
        </w:tc>
        <w:tc>
          <w:tcPr>
            <w:tcW w:w="1399" w:type="dxa"/>
            <w:tcMar>
              <w:top w:w="60" w:type="dxa"/>
              <w:left w:w="50" w:type="dxa"/>
              <w:bottom w:w="60" w:type="dxa"/>
              <w:right w:w="50" w:type="dxa"/>
            </w:tcMar>
          </w:tcPr>
          <w:p w14:paraId="39B38D50"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80.65%</w:t>
            </w:r>
          </w:p>
        </w:tc>
        <w:tc>
          <w:tcPr>
            <w:tcW w:w="1399" w:type="dxa"/>
            <w:tcMar>
              <w:top w:w="60" w:type="dxa"/>
              <w:left w:w="50" w:type="dxa"/>
              <w:bottom w:w="60" w:type="dxa"/>
              <w:right w:w="50" w:type="dxa"/>
            </w:tcMar>
          </w:tcPr>
          <w:p w14:paraId="38410051"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0.7240</w:t>
            </w:r>
          </w:p>
        </w:tc>
        <w:tc>
          <w:tcPr>
            <w:tcW w:w="1399" w:type="dxa"/>
            <w:tcMar>
              <w:top w:w="60" w:type="dxa"/>
              <w:left w:w="50" w:type="dxa"/>
              <w:bottom w:w="60" w:type="dxa"/>
              <w:right w:w="50" w:type="dxa"/>
            </w:tcMar>
          </w:tcPr>
          <w:p w14:paraId="30B5FD7E"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0.1714</w:t>
            </w:r>
          </w:p>
        </w:tc>
        <w:tc>
          <w:tcPr>
            <w:tcW w:w="1399" w:type="dxa"/>
            <w:tcMar>
              <w:top w:w="60" w:type="dxa"/>
              <w:left w:w="50" w:type="dxa"/>
              <w:bottom w:w="60" w:type="dxa"/>
              <w:right w:w="50" w:type="dxa"/>
            </w:tcMar>
          </w:tcPr>
          <w:p w14:paraId="50CA8AFC"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0.0611</w:t>
            </w:r>
          </w:p>
        </w:tc>
        <w:tc>
          <w:tcPr>
            <w:tcW w:w="1399" w:type="dxa"/>
            <w:tcMar>
              <w:top w:w="60" w:type="dxa"/>
              <w:left w:w="50" w:type="dxa"/>
              <w:bottom w:w="60" w:type="dxa"/>
              <w:right w:w="50" w:type="dxa"/>
            </w:tcMar>
          </w:tcPr>
          <w:p w14:paraId="0542D8F1"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0.3464</w:t>
            </w:r>
          </w:p>
        </w:tc>
      </w:tr>
      <w:tr w:rsidR="00524736" w:rsidRPr="007A7A54" w14:paraId="51DFB7C9" w14:textId="77777777">
        <w:trPr>
          <w:jc w:val="center"/>
        </w:trPr>
        <w:tc>
          <w:tcPr>
            <w:tcW w:w="1399" w:type="dxa"/>
            <w:tcMar>
              <w:top w:w="60" w:type="dxa"/>
              <w:left w:w="50" w:type="dxa"/>
              <w:bottom w:w="60" w:type="dxa"/>
              <w:right w:w="50" w:type="dxa"/>
            </w:tcMar>
          </w:tcPr>
          <w:p w14:paraId="5C30F552"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2. Pre-Processing</w:t>
            </w:r>
          </w:p>
        </w:tc>
        <w:tc>
          <w:tcPr>
            <w:tcW w:w="1399" w:type="dxa"/>
            <w:tcMar>
              <w:top w:w="60" w:type="dxa"/>
              <w:left w:w="50" w:type="dxa"/>
              <w:bottom w:w="60" w:type="dxa"/>
              <w:right w:w="50" w:type="dxa"/>
            </w:tcMar>
          </w:tcPr>
          <w:p w14:paraId="5D4025D3"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86.92%</w:t>
            </w:r>
          </w:p>
        </w:tc>
        <w:tc>
          <w:tcPr>
            <w:tcW w:w="1399" w:type="dxa"/>
            <w:tcMar>
              <w:top w:w="60" w:type="dxa"/>
              <w:left w:w="50" w:type="dxa"/>
              <w:bottom w:w="60" w:type="dxa"/>
              <w:right w:w="50" w:type="dxa"/>
            </w:tcMar>
          </w:tcPr>
          <w:p w14:paraId="00F80418"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78.71%</w:t>
            </w:r>
          </w:p>
        </w:tc>
        <w:tc>
          <w:tcPr>
            <w:tcW w:w="1399" w:type="dxa"/>
            <w:tcMar>
              <w:top w:w="60" w:type="dxa"/>
              <w:left w:w="50" w:type="dxa"/>
              <w:bottom w:w="60" w:type="dxa"/>
              <w:right w:w="50" w:type="dxa"/>
            </w:tcMar>
          </w:tcPr>
          <w:p w14:paraId="45C1CA89"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0.6983</w:t>
            </w:r>
          </w:p>
        </w:tc>
        <w:tc>
          <w:tcPr>
            <w:tcW w:w="1399" w:type="dxa"/>
            <w:tcMar>
              <w:top w:w="60" w:type="dxa"/>
              <w:left w:w="50" w:type="dxa"/>
              <w:bottom w:w="60" w:type="dxa"/>
              <w:right w:w="50" w:type="dxa"/>
            </w:tcMar>
          </w:tcPr>
          <w:p w14:paraId="3683BDFE"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0.0867</w:t>
            </w:r>
          </w:p>
        </w:tc>
        <w:tc>
          <w:tcPr>
            <w:tcW w:w="1399" w:type="dxa"/>
            <w:tcMar>
              <w:top w:w="60" w:type="dxa"/>
              <w:left w:w="50" w:type="dxa"/>
              <w:bottom w:w="60" w:type="dxa"/>
              <w:right w:w="50" w:type="dxa"/>
            </w:tcMar>
          </w:tcPr>
          <w:p w14:paraId="771C7E81"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0.2029</w:t>
            </w:r>
          </w:p>
        </w:tc>
        <w:tc>
          <w:tcPr>
            <w:tcW w:w="1399" w:type="dxa"/>
            <w:tcMar>
              <w:top w:w="60" w:type="dxa"/>
              <w:left w:w="50" w:type="dxa"/>
              <w:bottom w:w="60" w:type="dxa"/>
              <w:right w:w="50" w:type="dxa"/>
            </w:tcMar>
          </w:tcPr>
          <w:p w14:paraId="1B2E14C6"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0.6086</w:t>
            </w:r>
          </w:p>
        </w:tc>
      </w:tr>
      <w:tr w:rsidR="00524736" w:rsidRPr="007A7A54" w14:paraId="676C71D6" w14:textId="77777777">
        <w:trPr>
          <w:jc w:val="center"/>
        </w:trPr>
        <w:tc>
          <w:tcPr>
            <w:tcW w:w="1399" w:type="dxa"/>
            <w:tcMar>
              <w:top w:w="60" w:type="dxa"/>
              <w:left w:w="50" w:type="dxa"/>
              <w:bottom w:w="60" w:type="dxa"/>
              <w:right w:w="50" w:type="dxa"/>
            </w:tcMar>
          </w:tcPr>
          <w:p w14:paraId="0E9A7B48"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3. In-Processing</w:t>
            </w:r>
          </w:p>
        </w:tc>
        <w:tc>
          <w:tcPr>
            <w:tcW w:w="1399" w:type="dxa"/>
            <w:tcMar>
              <w:top w:w="60" w:type="dxa"/>
              <w:left w:w="50" w:type="dxa"/>
              <w:bottom w:w="60" w:type="dxa"/>
              <w:right w:w="50" w:type="dxa"/>
            </w:tcMar>
          </w:tcPr>
          <w:p w14:paraId="577823CA"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85.69%</w:t>
            </w:r>
          </w:p>
        </w:tc>
        <w:tc>
          <w:tcPr>
            <w:tcW w:w="1399" w:type="dxa"/>
            <w:tcMar>
              <w:top w:w="60" w:type="dxa"/>
              <w:left w:w="50" w:type="dxa"/>
              <w:bottom w:w="60" w:type="dxa"/>
              <w:right w:w="50" w:type="dxa"/>
            </w:tcMar>
          </w:tcPr>
          <w:p w14:paraId="3701E3C9"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75.72%</w:t>
            </w:r>
          </w:p>
        </w:tc>
        <w:tc>
          <w:tcPr>
            <w:tcW w:w="1399" w:type="dxa"/>
            <w:tcMar>
              <w:top w:w="60" w:type="dxa"/>
              <w:left w:w="50" w:type="dxa"/>
              <w:bottom w:w="60" w:type="dxa"/>
              <w:right w:w="50" w:type="dxa"/>
            </w:tcMar>
          </w:tcPr>
          <w:p w14:paraId="5E8C62F8"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0.6553</w:t>
            </w:r>
          </w:p>
        </w:tc>
        <w:tc>
          <w:tcPr>
            <w:tcW w:w="1399" w:type="dxa"/>
            <w:tcMar>
              <w:top w:w="60" w:type="dxa"/>
              <w:left w:w="50" w:type="dxa"/>
              <w:bottom w:w="60" w:type="dxa"/>
              <w:right w:w="50" w:type="dxa"/>
            </w:tcMar>
          </w:tcPr>
          <w:p w14:paraId="4ABDB2D6"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0.0973</w:t>
            </w:r>
          </w:p>
        </w:tc>
        <w:tc>
          <w:tcPr>
            <w:tcW w:w="1399" w:type="dxa"/>
            <w:tcMar>
              <w:top w:w="60" w:type="dxa"/>
              <w:left w:w="50" w:type="dxa"/>
              <w:bottom w:w="60" w:type="dxa"/>
              <w:right w:w="50" w:type="dxa"/>
            </w:tcMar>
          </w:tcPr>
          <w:p w14:paraId="6A82A769"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0.0656</w:t>
            </w:r>
          </w:p>
        </w:tc>
        <w:tc>
          <w:tcPr>
            <w:tcW w:w="1399" w:type="dxa"/>
            <w:tcMar>
              <w:top w:w="60" w:type="dxa"/>
              <w:left w:w="50" w:type="dxa"/>
              <w:bottom w:w="60" w:type="dxa"/>
              <w:right w:w="50" w:type="dxa"/>
            </w:tcMar>
          </w:tcPr>
          <w:p w14:paraId="315D6806"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0.5292</w:t>
            </w:r>
          </w:p>
        </w:tc>
      </w:tr>
      <w:tr w:rsidR="00524736" w:rsidRPr="007A7A54" w14:paraId="4563D369" w14:textId="77777777">
        <w:trPr>
          <w:jc w:val="center"/>
        </w:trPr>
        <w:tc>
          <w:tcPr>
            <w:tcW w:w="1399" w:type="dxa"/>
            <w:tcMar>
              <w:top w:w="60" w:type="dxa"/>
              <w:left w:w="50" w:type="dxa"/>
              <w:bottom w:w="60" w:type="dxa"/>
              <w:right w:w="50" w:type="dxa"/>
            </w:tcMar>
          </w:tcPr>
          <w:p w14:paraId="46581FC5"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4. Post-Processing</w:t>
            </w:r>
          </w:p>
        </w:tc>
        <w:tc>
          <w:tcPr>
            <w:tcW w:w="1399" w:type="dxa"/>
            <w:tcMar>
              <w:top w:w="60" w:type="dxa"/>
              <w:left w:w="50" w:type="dxa"/>
              <w:bottom w:w="60" w:type="dxa"/>
              <w:right w:w="50" w:type="dxa"/>
            </w:tcMar>
          </w:tcPr>
          <w:p w14:paraId="3DC79A2A"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85.78%</w:t>
            </w:r>
          </w:p>
        </w:tc>
        <w:tc>
          <w:tcPr>
            <w:tcW w:w="1399" w:type="dxa"/>
            <w:tcMar>
              <w:top w:w="60" w:type="dxa"/>
              <w:left w:w="50" w:type="dxa"/>
              <w:bottom w:w="60" w:type="dxa"/>
              <w:right w:w="50" w:type="dxa"/>
            </w:tcMar>
          </w:tcPr>
          <w:p w14:paraId="2D720FAE"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77.14%</w:t>
            </w:r>
          </w:p>
        </w:tc>
        <w:tc>
          <w:tcPr>
            <w:tcW w:w="1399" w:type="dxa"/>
            <w:tcMar>
              <w:top w:w="60" w:type="dxa"/>
              <w:left w:w="50" w:type="dxa"/>
              <w:bottom w:w="60" w:type="dxa"/>
              <w:right w:w="50" w:type="dxa"/>
            </w:tcMar>
          </w:tcPr>
          <w:p w14:paraId="0BD05890"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0.6719</w:t>
            </w:r>
          </w:p>
        </w:tc>
        <w:tc>
          <w:tcPr>
            <w:tcW w:w="1399" w:type="dxa"/>
            <w:tcMar>
              <w:top w:w="60" w:type="dxa"/>
              <w:left w:w="50" w:type="dxa"/>
              <w:bottom w:w="60" w:type="dxa"/>
              <w:right w:w="50" w:type="dxa"/>
            </w:tcMar>
          </w:tcPr>
          <w:p w14:paraId="52E23154"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0.1085</w:t>
            </w:r>
          </w:p>
        </w:tc>
        <w:tc>
          <w:tcPr>
            <w:tcW w:w="1399" w:type="dxa"/>
            <w:tcMar>
              <w:top w:w="60" w:type="dxa"/>
              <w:left w:w="50" w:type="dxa"/>
              <w:bottom w:w="60" w:type="dxa"/>
              <w:right w:w="50" w:type="dxa"/>
            </w:tcMar>
          </w:tcPr>
          <w:p w14:paraId="4A8B3304"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0.0393</w:t>
            </w:r>
          </w:p>
        </w:tc>
        <w:tc>
          <w:tcPr>
            <w:tcW w:w="1399" w:type="dxa"/>
            <w:tcMar>
              <w:top w:w="60" w:type="dxa"/>
              <w:left w:w="50" w:type="dxa"/>
              <w:bottom w:w="60" w:type="dxa"/>
              <w:right w:w="50" w:type="dxa"/>
            </w:tcMar>
          </w:tcPr>
          <w:p w14:paraId="5930EF94" w14:textId="77777777" w:rsidR="00524736" w:rsidRPr="007A7A54" w:rsidRDefault="00000000">
            <w:pPr>
              <w:jc w:val="center"/>
              <w:rPr>
                <w:rFonts w:cs="Times New Roman"/>
                <w:color w:val="000000" w:themeColor="text1"/>
                <w:sz w:val="24"/>
                <w:szCs w:val="24"/>
              </w:rPr>
            </w:pPr>
            <w:r w:rsidRPr="007A7A54">
              <w:rPr>
                <w:rFonts w:cs="Times New Roman"/>
                <w:color w:val="000000" w:themeColor="text1"/>
                <w:sz w:val="24"/>
                <w:szCs w:val="24"/>
              </w:rPr>
              <w:t>0.5253</w:t>
            </w:r>
          </w:p>
        </w:tc>
      </w:tr>
    </w:tbl>
    <w:p w14:paraId="21B24A66"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Table 1: Quantitative Comparison of Performance vs. Fairness Disparities across Mitigation Strategies.</w:t>
      </w:r>
    </w:p>
    <w:p w14:paraId="4FDCEA12"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drawing>
          <wp:inline distT="0" distB="0" distL="0" distR="0" wp14:anchorId="4BED34F3" wp14:editId="661519BA">
            <wp:extent cx="5303520" cy="21172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fairness_audit_disparity.png"/>
                    <pic:cNvPicPr/>
                  </pic:nvPicPr>
                  <pic:blipFill>
                    <a:blip r:embed="rId12"/>
                    <a:stretch>
                      <a:fillRect/>
                    </a:stretch>
                  </pic:blipFill>
                  <pic:spPr>
                    <a:xfrm>
                      <a:off x="0" y="0"/>
                      <a:ext cx="5303520" cy="2117297"/>
                    </a:xfrm>
                    <a:prstGeom prst="rect">
                      <a:avLst/>
                    </a:prstGeom>
                  </pic:spPr>
                </pic:pic>
              </a:graphicData>
            </a:graphic>
          </wp:inline>
        </w:drawing>
      </w:r>
    </w:p>
    <w:p w14:paraId="690C8529"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7: Fairlearn Baseline Demographic Disparities across Gender and Race.</w:t>
      </w:r>
    </w:p>
    <w:p w14:paraId="205D60D2" w14:textId="77777777" w:rsidR="00524736" w:rsidRPr="007A7A54" w:rsidRDefault="00000000">
      <w:pPr>
        <w:spacing w:before="80" w:after="40"/>
        <w:jc w:val="center"/>
        <w:rPr>
          <w:rFonts w:cs="Times New Roman"/>
          <w:color w:val="000000" w:themeColor="text1"/>
          <w:sz w:val="24"/>
          <w:szCs w:val="24"/>
        </w:rPr>
      </w:pPr>
      <w:r w:rsidRPr="007A7A54">
        <w:rPr>
          <w:rFonts w:cs="Times New Roman"/>
          <w:noProof/>
          <w:color w:val="000000" w:themeColor="text1"/>
          <w:sz w:val="24"/>
          <w:szCs w:val="24"/>
        </w:rPr>
        <w:lastRenderedPageBreak/>
        <w:drawing>
          <wp:inline distT="0" distB="0" distL="0" distR="0" wp14:anchorId="5288F166" wp14:editId="6AA1C76B">
            <wp:extent cx="5120640" cy="3290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5_fairness_mitigation_tradeoff.png"/>
                    <pic:cNvPicPr/>
                  </pic:nvPicPr>
                  <pic:blipFill>
                    <a:blip r:embed="rId13"/>
                    <a:stretch>
                      <a:fillRect/>
                    </a:stretch>
                  </pic:blipFill>
                  <pic:spPr>
                    <a:xfrm>
                      <a:off x="0" y="0"/>
                      <a:ext cx="5120640" cy="3290534"/>
                    </a:xfrm>
                    <a:prstGeom prst="rect">
                      <a:avLst/>
                    </a:prstGeom>
                  </pic:spPr>
                </pic:pic>
              </a:graphicData>
            </a:graphic>
          </wp:inline>
        </w:drawing>
      </w:r>
    </w:p>
    <w:p w14:paraId="3958137C" w14:textId="77777777" w:rsidR="00524736" w:rsidRPr="007A7A54" w:rsidRDefault="00000000">
      <w:pPr>
        <w:spacing w:after="120"/>
        <w:jc w:val="center"/>
        <w:rPr>
          <w:rFonts w:cs="Times New Roman"/>
          <w:color w:val="000000" w:themeColor="text1"/>
          <w:sz w:val="24"/>
          <w:szCs w:val="24"/>
        </w:rPr>
      </w:pPr>
      <w:r w:rsidRPr="007A7A54">
        <w:rPr>
          <w:rFonts w:cs="Times New Roman"/>
          <w:i/>
          <w:color w:val="000000" w:themeColor="text1"/>
          <w:sz w:val="24"/>
          <w:szCs w:val="24"/>
        </w:rPr>
        <w:t>Figure 8: Fairness vs. Accuracy Pareto Trade-off Frontier.</w:t>
      </w:r>
    </w:p>
    <w:tbl>
      <w:tblPr>
        <w:tblW w:w="0" w:type="auto"/>
        <w:jc w:val="center"/>
        <w:tblLook w:val="04A0" w:firstRow="1" w:lastRow="0" w:firstColumn="1" w:lastColumn="0" w:noHBand="0" w:noVBand="1"/>
      </w:tblPr>
      <w:tblGrid>
        <w:gridCol w:w="9792"/>
      </w:tblGrid>
      <w:tr w:rsidR="00524736" w:rsidRPr="007A7A54" w14:paraId="56361880" w14:textId="77777777">
        <w:trPr>
          <w:jc w:val="center"/>
        </w:trPr>
        <w:tc>
          <w:tcPr>
            <w:tcW w:w="9792" w:type="dxa"/>
            <w:tcBorders>
              <w:left w:val="single" w:sz="24" w:space="0" w:color="1F4E78"/>
            </w:tcBorders>
            <w:shd w:val="clear" w:color="auto" w:fill="F0F4F8"/>
            <w:tcMar>
              <w:top w:w="100" w:type="dxa"/>
              <w:left w:w="160" w:type="dxa"/>
              <w:bottom w:w="100" w:type="dxa"/>
              <w:right w:w="140" w:type="dxa"/>
            </w:tcMar>
          </w:tcPr>
          <w:p w14:paraId="02F0428F" w14:textId="77777777" w:rsidR="00524736" w:rsidRPr="007A7A54" w:rsidRDefault="00000000">
            <w:pPr>
              <w:spacing w:after="0"/>
              <w:rPr>
                <w:rFonts w:cs="Times New Roman"/>
                <w:color w:val="000000" w:themeColor="text1"/>
                <w:sz w:val="24"/>
                <w:szCs w:val="24"/>
              </w:rPr>
            </w:pPr>
            <w:r w:rsidRPr="007A7A54">
              <w:rPr>
                <w:rFonts w:cs="Times New Roman"/>
                <w:b/>
                <w:color w:val="000000" w:themeColor="text1"/>
                <w:sz w:val="24"/>
                <w:szCs w:val="24"/>
              </w:rPr>
              <w:t xml:space="preserve">Mitigation Insights: </w:t>
            </w:r>
            <w:r w:rsidRPr="007A7A54">
              <w:rPr>
                <w:rFonts w:cs="Times New Roman"/>
                <w:color w:val="000000" w:themeColor="text1"/>
                <w:sz w:val="24"/>
                <w:szCs w:val="24"/>
              </w:rPr>
              <w:t>1. Pre-Processing (Sample Reweighting): Produced the most dramatic demographic parity reduction (0.0867 vs 0.1714, a 49.4% drop) and elevated Disparate Impact Ratio to 0.6086.</w:t>
            </w:r>
            <w:r w:rsidRPr="007A7A54">
              <w:rPr>
                <w:rFonts w:cs="Times New Roman"/>
                <w:color w:val="000000" w:themeColor="text1"/>
                <w:sz w:val="24"/>
                <w:szCs w:val="24"/>
              </w:rPr>
              <w:br/>
              <w:t>2. Post-Processing (ThresholdOptimizer): Produced the lowest Equalized Odds Difference (0.0393, a 35.6% reduction), calibrating thresholds to equalize error rates across demographic subgroups.</w:t>
            </w:r>
          </w:p>
        </w:tc>
      </w:tr>
    </w:tbl>
    <w:p w14:paraId="7456DB50" w14:textId="77777777" w:rsidR="00524736" w:rsidRPr="007A7A54" w:rsidRDefault="00524736">
      <w:pPr>
        <w:rPr>
          <w:rFonts w:cs="Times New Roman"/>
          <w:color w:val="000000" w:themeColor="text1"/>
          <w:sz w:val="24"/>
          <w:szCs w:val="24"/>
        </w:rPr>
      </w:pPr>
    </w:p>
    <w:p w14:paraId="432883B9" w14:textId="77777777" w:rsidR="00524736" w:rsidRPr="007A7A54" w:rsidRDefault="00000000">
      <w:pPr>
        <w:keepNext/>
        <w:spacing w:before="200" w:after="80"/>
        <w:rPr>
          <w:rFonts w:cs="Times New Roman"/>
          <w:color w:val="000000" w:themeColor="text1"/>
          <w:sz w:val="24"/>
          <w:szCs w:val="24"/>
        </w:rPr>
      </w:pPr>
      <w:r w:rsidRPr="007A7A54">
        <w:rPr>
          <w:rFonts w:cs="Times New Roman"/>
          <w:b/>
          <w:color w:val="000000" w:themeColor="text1"/>
          <w:sz w:val="24"/>
          <w:szCs w:val="24"/>
        </w:rPr>
        <w:t>6. Conclusion &amp; Recommendations</w:t>
      </w:r>
    </w:p>
    <w:p w14:paraId="04522D32" w14:textId="77777777" w:rsidR="00524736" w:rsidRPr="007A7A54" w:rsidRDefault="00000000">
      <w:pPr>
        <w:rPr>
          <w:rFonts w:cs="Times New Roman"/>
          <w:color w:val="000000" w:themeColor="text1"/>
          <w:sz w:val="24"/>
          <w:szCs w:val="24"/>
        </w:rPr>
      </w:pPr>
      <w:r w:rsidRPr="007A7A54">
        <w:rPr>
          <w:rFonts w:cs="Times New Roman"/>
          <w:color w:val="000000" w:themeColor="text1"/>
          <w:sz w:val="24"/>
          <w:szCs w:val="24"/>
        </w:rPr>
        <w:t>Experiment 5 successfully validates that high classification accuracy is insufficient for responsible AI deployment. By synthesizing game-theoretic SHAP attributions, localized LIME surrogate rules, and Fairlearn demographic auditing, we comprehensively uncovered systemic bias in socioeconomic modeling. Through pre-processing reweighting and post-processing threshold optimization, we achieved substantial equity improvements while preserving high operational performance on the empirical Pareto frontier.</w:t>
      </w:r>
    </w:p>
    <w:sectPr w:rsidR="00524736" w:rsidRPr="007A7A54"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8245073">
    <w:abstractNumId w:val="8"/>
  </w:num>
  <w:num w:numId="2" w16cid:durableId="1454783378">
    <w:abstractNumId w:val="6"/>
  </w:num>
  <w:num w:numId="3" w16cid:durableId="1424037095">
    <w:abstractNumId w:val="5"/>
  </w:num>
  <w:num w:numId="4" w16cid:durableId="1108966670">
    <w:abstractNumId w:val="4"/>
  </w:num>
  <w:num w:numId="5" w16cid:durableId="470680823">
    <w:abstractNumId w:val="7"/>
  </w:num>
  <w:num w:numId="6" w16cid:durableId="2029870419">
    <w:abstractNumId w:val="3"/>
  </w:num>
  <w:num w:numId="7" w16cid:durableId="1806506842">
    <w:abstractNumId w:val="2"/>
  </w:num>
  <w:num w:numId="8" w16cid:durableId="416365974">
    <w:abstractNumId w:val="1"/>
  </w:num>
  <w:num w:numId="9" w16cid:durableId="1908492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4736"/>
    <w:rsid w:val="007A7A54"/>
    <w:rsid w:val="00AA1D8D"/>
    <w:rsid w:val="00B47730"/>
    <w:rsid w:val="00CB0664"/>
    <w:rsid w:val="00F91F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F6D5FB"/>
  <w14:defaultImageDpi w14:val="300"/>
  <w15:docId w15:val="{83440B53-4DE8-4ADB-8DDC-F5859047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hAnsi="Times New Roman"/>
      <w:color w:val="24292F"/>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707</Words>
  <Characters>4030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Aditya Acharya</cp:lastModifiedBy>
  <cp:revision>2</cp:revision>
  <dcterms:created xsi:type="dcterms:W3CDTF">2013-12-23T23:15:00Z</dcterms:created>
  <dcterms:modified xsi:type="dcterms:W3CDTF">2026-09-19T11:13:00Z</dcterms:modified>
  <cp:category/>
</cp:coreProperties>
</file>