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F4E78"/>
          <w:sz w:val="28"/>
        </w:rPr>
        <w:t>EXPERIMENT 7 REPORT</w:t>
      </w:r>
    </w:p>
    <w:p>
      <w:pPr>
        <w:spacing w:after="80"/>
        <w:jc w:val="center"/>
      </w:pPr>
      <w:r>
        <w:rPr>
          <w:rFonts w:ascii="Times New Roman" w:hAnsi="Times New Roman"/>
          <w:b/>
          <w:color w:val="002060"/>
          <w:sz w:val="32"/>
        </w:rPr>
        <w:t>CI/CD Pipeline with Open Source Tools (GitHub Actions)</w:t>
      </w:r>
    </w:p>
    <w:p>
      <w:pPr>
        <w:spacing w:after="120"/>
        <w:jc w:val="center"/>
      </w:pPr>
      <w:r>
        <w:rPr>
          <w:rFonts w:ascii="Times New Roman" w:hAnsi="Times New Roman"/>
          <w:i/>
          <w:color w:val="555555"/>
          <w:sz w:val="20"/>
        </w:rPr>
        <w:t>Applied Data Science (ADS)  |  Domain: Production MLOps &amp; Continuous Delivery  |  September 2026</w:t>
      </w:r>
    </w:p>
    <w:tbl>
      <w:tblPr>
        <w:tblW w:type="auto" w:w="0"/>
        <w:jc w:val="center"/>
        <w:tblLook w:firstColumn="1" w:firstRow="1" w:lastColumn="0" w:lastRow="0" w:noHBand="0" w:noVBand="1" w:val="04A0"/>
      </w:tblPr>
      <w:tblGrid>
        <w:gridCol w:w="9792"/>
      </w:tblGrid>
      <w:tr>
        <w:tc>
          <w:tcPr>
            <w:tcW w:type="dxa" w:w="9792"/>
            <w:shd w:fill="F0F4F8"/>
            <w:tcMar>
              <w:top w:w="100" w:type="dxa"/>
              <w:bottom w:w="100" w:type="dxa"/>
              <w:left w:w="160" w:type="dxa"/>
              <w:right w:w="140" w:type="dxa"/>
            </w:tcMar>
            <w:tcBorders>
              <w:top w:val="none"/>
              <w:bottom w:val="none"/>
              <w:right w:val="none"/>
              <w:left w:val="single" w:sz="24" w:color="1F4E78"/>
            </w:tcBorders>
          </w:tcPr>
          <w:p>
            <w:pPr>
              <w:spacing w:after="0" w:line="276" w:lineRule="auto"/>
            </w:pPr>
            <w:r>
              <w:rPr>
                <w:rFonts w:ascii="Times New Roman" w:hAnsi="Times New Roman"/>
                <w:b/>
                <w:color w:val="1F4E78"/>
                <w:sz w:val="19"/>
              </w:rPr>
              <w:t xml:space="preserve">Executive Summary: </w:t>
            </w:r>
            <w:r>
              <w:rPr>
                <w:rFonts w:ascii="Times New Roman" w:hAnsi="Times New Roman"/>
                <w:sz w:val="19"/>
              </w:rPr>
              <w:t>This academic report presents the engineering of an automated, enterprise-grade Continuous Integration and Continuous Deployment (CI/CD) pipeline using GitHub Actions, Pytest, DVC, and Docker. The pipeline automates four sequential validation gates: (1) Static Code Analysis and PEP 8 Linting, (2) Unit and Integration Testing (11/11 passing assertions), (3) Model Artifact and DVC Checksum Integrity Verification, and (4) Enterprise Docker Container Build and Live Smoke Testing. Total CI execution time is 8.31 seconds with 100% pass rates.</w:t>
            </w:r>
          </w:p>
        </w:tc>
      </w:tr>
    </w:tbl>
    <w:p>
      <w:pPr>
        <w:spacing w:after="60"/>
      </w:pPr>
    </w:p>
    <w:p>
      <w:pPr>
        <w:keepNext/>
        <w:spacing w:before="220" w:after="80"/>
      </w:pPr>
      <w:r>
        <w:rPr>
          <w:rFonts w:ascii="Times New Roman" w:hAnsi="Times New Roman"/>
          <w:b/>
          <w:color w:val="1F4E78"/>
          <w:sz w:val="24"/>
        </w:rPr>
        <w:t>1. Aim &amp; Objectives</w:t>
      </w:r>
    </w:p>
    <w:p>
      <w:pPr>
        <w:spacing w:after="60" w:line="276" w:lineRule="auto"/>
        <w:jc w:val="left"/>
      </w:pPr>
      <w:r>
        <w:rPr>
          <w:rFonts w:ascii="Times New Roman" w:hAnsi="Times New Roman"/>
          <w:b/>
          <w:sz w:val="21"/>
        </w:rPr>
        <w:t xml:space="preserve">Aim: </w:t>
      </w:r>
      <w:r>
        <w:rPr>
          <w:rFonts w:ascii="Times New Roman" w:hAnsi="Times New Roman"/>
          <w:sz w:val="21"/>
        </w:rPr>
        <w:t>To automate testing, code quality checks, version tracking, and deployment using GitHub Actions and open-source MLOps tools.</w:t>
      </w:r>
    </w:p>
    <w:p>
      <w:pPr>
        <w:spacing w:after="60" w:line="276" w:lineRule="auto"/>
        <w:jc w:val="left"/>
      </w:pPr>
      <w:r>
        <w:rPr>
          <w:rFonts w:ascii="Times New Roman" w:hAnsi="Times New Roman"/>
          <w:b/>
          <w:sz w:val="21"/>
        </w:rPr>
        <w:t xml:space="preserve">Objectives: </w:t>
      </w:r>
      <w:r>
        <w:rPr>
          <w:rFonts w:ascii="Times New Roman" w:hAnsi="Times New Roman"/>
          <w:sz w:val="21"/>
        </w:rPr>
        <w:t>The project accomplishes five core engineering objectives:</w:t>
      </w:r>
    </w:p>
    <w:p>
      <w:pPr>
        <w:pStyle w:val="ListBullet"/>
        <w:spacing w:after="40" w:line="276" w:lineRule="auto"/>
      </w:pPr>
      <w:r>
        <w:rPr>
          <w:rFonts w:ascii="Times New Roman" w:hAnsi="Times New Roman"/>
          <w:b/>
          <w:sz w:val="20"/>
        </w:rPr>
        <w:t xml:space="preserve">1. Declarative CI/CD Pipeline: </w:t>
      </w:r>
      <w:r>
        <w:rPr>
          <w:rFonts w:ascii="Times New Roman" w:hAnsi="Times New Roman"/>
          <w:sz w:val="20"/>
        </w:rPr>
        <w:t>Design a modular GitHub Actions workflow (.github/workflows/ci_cd.yml) triggered on pull requests and pushes to the main branch.</w:t>
      </w:r>
    </w:p>
    <w:p>
      <w:pPr>
        <w:pStyle w:val="ListBullet"/>
        <w:spacing w:after="40" w:line="276" w:lineRule="auto"/>
      </w:pPr>
      <w:r>
        <w:rPr>
          <w:rFonts w:ascii="Times New Roman" w:hAnsi="Times New Roman"/>
          <w:b/>
          <w:sz w:val="20"/>
        </w:rPr>
        <w:t xml:space="preserve">2. Static Code Quality &amp; Linting: </w:t>
      </w:r>
      <w:r>
        <w:rPr>
          <w:rFonts w:ascii="Times New Roman" w:hAnsi="Times New Roman"/>
          <w:sz w:val="20"/>
        </w:rPr>
        <w:t>Enforce strict PEP 8 compliance, AST syntax compilation, and import hygiene using Flake8, Black, and isort.</w:t>
      </w:r>
    </w:p>
    <w:p>
      <w:pPr>
        <w:pStyle w:val="ListBullet"/>
        <w:spacing w:after="40" w:line="276" w:lineRule="auto"/>
      </w:pPr>
      <w:r>
        <w:rPr>
          <w:rFonts w:ascii="Times New Roman" w:hAnsi="Times New Roman"/>
          <w:b/>
          <w:sz w:val="20"/>
        </w:rPr>
        <w:t xml:space="preserve">3. Automated Regression Testing: </w:t>
      </w:r>
      <w:r>
        <w:rPr>
          <w:rFonts w:ascii="Times New Roman" w:hAnsi="Times New Roman"/>
          <w:sz w:val="20"/>
        </w:rPr>
        <w:t>Implement an automated Pytest test suite validating model deserialization, API endpoint contracts, and sub-150ms latency SLAs.</w:t>
      </w:r>
    </w:p>
    <w:p>
      <w:pPr>
        <w:pStyle w:val="ListBullet"/>
        <w:spacing w:after="40" w:line="276" w:lineRule="auto"/>
      </w:pPr>
      <w:r>
        <w:rPr>
          <w:rFonts w:ascii="Times New Roman" w:hAnsi="Times New Roman"/>
          <w:b/>
          <w:sz w:val="20"/>
        </w:rPr>
        <w:t xml:space="preserve">4. Model &amp; Data Versioning (DVC): </w:t>
      </w:r>
      <w:r>
        <w:rPr>
          <w:rFonts w:ascii="Times New Roman" w:hAnsi="Times New Roman"/>
          <w:sz w:val="20"/>
        </w:rPr>
        <w:t>Verify model artifact integrity via SHA-256 cryptographic hashes and semantic version tracking.</w:t>
      </w:r>
    </w:p>
    <w:p>
      <w:pPr>
        <w:pStyle w:val="ListBullet"/>
        <w:spacing w:after="40" w:line="276" w:lineRule="auto"/>
      </w:pPr>
      <w:r>
        <w:rPr>
          <w:rFonts w:ascii="Times New Roman" w:hAnsi="Times New Roman"/>
          <w:b/>
          <w:sz w:val="20"/>
        </w:rPr>
        <w:t xml:space="preserve">5. Automated Container Build &amp; Smoke Testing: </w:t>
      </w:r>
      <w:r>
        <w:rPr>
          <w:rFonts w:ascii="Times New Roman" w:hAnsi="Times New Roman"/>
          <w:sz w:val="20"/>
        </w:rPr>
        <w:t>Package the microservice in Docker and execute live HTTP smoke tests against /health and /predict.</w:t>
      </w:r>
    </w:p>
    <w:p>
      <w:pPr>
        <w:keepNext/>
        <w:spacing w:before="220" w:after="80"/>
      </w:pPr>
      <w:r>
        <w:rPr>
          <w:rFonts w:ascii="Times New Roman" w:hAnsi="Times New Roman"/>
          <w:b/>
          <w:color w:val="1F4E78"/>
          <w:sz w:val="24"/>
        </w:rPr>
        <w:t>2. Multi-Stage CI/CD Pipeline Architecture</w:t>
      </w:r>
    </w:p>
    <w:p>
      <w:pPr>
        <w:spacing w:after="60" w:line="276" w:lineRule="auto"/>
        <w:jc w:val="left"/>
      </w:pPr>
      <w:r>
        <w:rPr>
          <w:rFonts w:ascii="Times New Roman" w:hAnsi="Times New Roman"/>
          <w:sz w:val="21"/>
        </w:rPr>
        <w:t>Modern Machine Learning systems require continuous testing across code, data, and model dimensions. The automated CI/CD workflow orchestrates four sequential, dependent jobs designed to fail fast upon encountering syntax defects, broken contracts, corrupted model weights, or degraded container runtimes.</w:t>
      </w:r>
    </w:p>
    <w:p>
      <w:pPr>
        <w:spacing w:before="120" w:after="40"/>
        <w:jc w:val="center"/>
      </w:pPr>
      <w:r>
        <w:drawing>
          <wp:inline xmlns:a="http://schemas.openxmlformats.org/drawingml/2006/main" xmlns:pic="http://schemas.openxmlformats.org/drawingml/2006/picture">
            <wp:extent cx="5669280" cy="2815616"/>
            <wp:docPr id="1" name="Picture 1"/>
            <wp:cNvGraphicFramePr>
              <a:graphicFrameLocks noChangeAspect="1"/>
            </wp:cNvGraphicFramePr>
            <a:graphic>
              <a:graphicData uri="http://schemas.openxmlformats.org/drawingml/2006/picture">
                <pic:pic>
                  <pic:nvPicPr>
                    <pic:cNvPr id="0" name="exp7_ci_cd_architecture_diagram.png"/>
                    <pic:cNvPicPr/>
                  </pic:nvPicPr>
                  <pic:blipFill>
                    <a:blip r:embed="rId9"/>
                    <a:stretch>
                      <a:fillRect/>
                    </a:stretch>
                  </pic:blipFill>
                  <pic:spPr>
                    <a:xfrm>
                      <a:off x="0" y="0"/>
                      <a:ext cx="5669280" cy="2815616"/>
                    </a:xfrm>
                    <a:prstGeom prst="rect"/>
                  </pic:spPr>
                </pic:pic>
              </a:graphicData>
            </a:graphic>
          </wp:inline>
        </w:drawing>
      </w:r>
    </w:p>
    <w:p>
      <w:pPr>
        <w:spacing w:after="120"/>
        <w:jc w:val="center"/>
      </w:pPr>
      <w:r>
        <w:rPr>
          <w:rFonts w:ascii="Times New Roman" w:hAnsi="Times New Roman"/>
          <w:i/>
          <w:color w:val="555555"/>
          <w:sz w:val="18"/>
        </w:rPr>
        <w:t>Figure 1: Automated Multi-Stage CI/CD Pipeline Architecture and Deployment Workflow.</w:t>
      </w:r>
    </w:p>
    <w:p>
      <w:pPr>
        <w:keepNext/>
        <w:spacing w:before="220" w:after="80"/>
      </w:pPr>
      <w:r>
        <w:rPr>
          <w:rFonts w:ascii="Times New Roman" w:hAnsi="Times New Roman"/>
          <w:b/>
          <w:color w:val="1F4E78"/>
          <w:sz w:val="24"/>
        </w:rPr>
        <w:t>3. GitHub Actions Workflow Specification (.github/workflows/ci_cd.yml)</w:t>
      </w:r>
    </w:p>
    <w:p>
      <w:pPr>
        <w:spacing w:after="60" w:line="276" w:lineRule="auto"/>
        <w:jc w:val="left"/>
      </w:pPr>
      <w:r>
        <w:rPr>
          <w:rFonts w:ascii="Times New Roman" w:hAnsi="Times New Roman"/>
          <w:sz w:val="21"/>
        </w:rPr>
        <w:t>The workflow is declared as code within '.github/workflows/ci_cd.yml'. It utilizes GitHub-hosted ubuntu-latest runners, pip dependency caching, Docker Buildx, and environment variables for reproducible execution across cloud environments:</w:t>
      </w:r>
    </w:p>
    <w:p>
      <w:pPr>
        <w:pStyle w:val="ListBullet"/>
        <w:spacing w:after="40" w:line="276" w:lineRule="auto"/>
      </w:pPr>
      <w:r>
        <w:rPr>
          <w:rFonts w:ascii="Times New Roman" w:hAnsi="Times New Roman"/>
          <w:b/>
          <w:sz w:val="20"/>
        </w:rPr>
        <w:t xml:space="preserve">Stage 1 (lint): </w:t>
      </w:r>
      <w:r>
        <w:rPr>
          <w:rFonts w:ascii="Times New Roman" w:hAnsi="Times New Roman"/>
          <w:sz w:val="20"/>
        </w:rPr>
        <w:t>Runs AST compilation across all 44 Python source files and evaluates Flake8 linting rules.</w:t>
      </w:r>
    </w:p>
    <w:p>
      <w:pPr>
        <w:pStyle w:val="ListBullet"/>
        <w:spacing w:after="40" w:line="276" w:lineRule="auto"/>
      </w:pPr>
      <w:r>
        <w:rPr>
          <w:rFonts w:ascii="Times New Roman" w:hAnsi="Times New Roman"/>
          <w:b/>
          <w:sz w:val="20"/>
        </w:rPr>
        <w:t xml:space="preserve">Stage 2 (test): </w:t>
      </w:r>
      <w:r>
        <w:rPr>
          <w:rFonts w:ascii="Times New Roman" w:hAnsi="Times New Roman"/>
          <w:sz w:val="20"/>
        </w:rPr>
        <w:t>Installs dependencies, configures PYTHONPATH, and executes 11 automated Pytest unit and integration tests.</w:t>
      </w:r>
    </w:p>
    <w:p>
      <w:pPr>
        <w:pStyle w:val="ListBullet"/>
        <w:spacing w:after="40" w:line="276" w:lineRule="auto"/>
      </w:pPr>
      <w:r>
        <w:rPr>
          <w:rFonts w:ascii="Times New Roman" w:hAnsi="Times New Roman"/>
          <w:b/>
          <w:sz w:val="20"/>
        </w:rPr>
        <w:t xml:space="preserve">Stage 3 (model-artifact-check): </w:t>
      </w:r>
      <w:r>
        <w:rPr>
          <w:rFonts w:ascii="Times New Roman" w:hAnsi="Times New Roman"/>
          <w:sz w:val="20"/>
        </w:rPr>
        <w:t>Verifies the champion model weights (2.44 MB), validates SHA-256 hash 'efacfe2e9ca...', and confirms predict() compatibility.</w:t>
      </w:r>
    </w:p>
    <w:p>
      <w:pPr>
        <w:pStyle w:val="ListBullet"/>
        <w:spacing w:after="40" w:line="276" w:lineRule="auto"/>
      </w:pPr>
      <w:r>
        <w:rPr>
          <w:rFonts w:ascii="Times New Roman" w:hAnsi="Times New Roman"/>
          <w:b/>
          <w:sz w:val="20"/>
        </w:rPr>
        <w:t xml:space="preserve">Stage 4 (docker-build-and-smoke): </w:t>
      </w:r>
      <w:r>
        <w:rPr>
          <w:rFonts w:ascii="Times New Roman" w:hAnsi="Times New Roman"/>
          <w:sz w:val="20"/>
        </w:rPr>
        <w:t>Builds Docker image 'ads-emotion-api:latest', starts an ephemeral container on port 8000, and verifies live /health and /predict endpoints.</w:t>
      </w:r>
    </w:p>
    <w:p>
      <w:pPr>
        <w:keepNext/>
        <w:spacing w:before="220" w:after="80"/>
      </w:pPr>
      <w:r>
        <w:rPr>
          <w:rFonts w:ascii="Times New Roman" w:hAnsi="Times New Roman"/>
          <w:b/>
          <w:color w:val="1F4E78"/>
          <w:sz w:val="24"/>
        </w:rPr>
        <w:t>4. Automated Verification Telemetry &amp; Benchmark Results</w:t>
      </w:r>
    </w:p>
    <w:p>
      <w:pPr>
        <w:spacing w:after="60" w:line="276" w:lineRule="auto"/>
        <w:jc w:val="left"/>
      </w:pPr>
      <w:r>
        <w:rPr>
          <w:rFonts w:ascii="Times New Roman" w:hAnsi="Times New Roman"/>
          <w:sz w:val="21"/>
        </w:rPr>
        <w:t>We executed the CI/CD pipeline locally via an automated execution engine (run_ci_pipeline.py) emulating the GitHub Actions runner environment. All four stages achieved 100% pass rates in a total duration of 8.31 seconds: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448"/>
        <w:gridCol w:w="2448"/>
        <w:gridCol w:w="2448"/>
        <w:gridCol w:w="2448"/>
      </w:tblGrid>
      <w:tr>
        <w:tc>
          <w:tcPr>
            <w:tcW w:type="dxa" w:w="2448"/>
            <w:shd w:fill="1F4E78"/>
            <w:tcMar>
              <w:top w:w="80" w:type="dxa"/>
              <w:bottom w:w="80" w:type="dxa"/>
              <w:left w:w="80" w:type="dxa"/>
              <w:right w:w="80" w:type="dxa"/>
            </w:tcMar>
          </w:tcPr>
          <w:p>
            <w:pPr>
              <w:jc w:val="center"/>
            </w:pPr>
            <w:r>
              <w:rPr>
                <w:b/>
                <w:color w:val="FFFFFF"/>
                <w:sz w:val="18"/>
              </w:rPr>
              <w:t>Pipeline Stage</w:t>
            </w:r>
          </w:p>
        </w:tc>
        <w:tc>
          <w:tcPr>
            <w:tcW w:type="dxa" w:w="2448"/>
            <w:shd w:fill="1F4E78"/>
            <w:tcMar>
              <w:top w:w="80" w:type="dxa"/>
              <w:bottom w:w="80" w:type="dxa"/>
              <w:left w:w="80" w:type="dxa"/>
              <w:right w:w="80" w:type="dxa"/>
            </w:tcMar>
          </w:tcPr>
          <w:p>
            <w:pPr>
              <w:jc w:val="center"/>
            </w:pPr>
            <w:r>
              <w:rPr>
                <w:b/>
                <w:color w:val="FFFFFF"/>
                <w:sz w:val="18"/>
              </w:rPr>
              <w:t>Engine / Tooling</w:t>
            </w:r>
          </w:p>
        </w:tc>
        <w:tc>
          <w:tcPr>
            <w:tcW w:type="dxa" w:w="2448"/>
            <w:shd w:fill="1F4E78"/>
            <w:tcMar>
              <w:top w:w="80" w:type="dxa"/>
              <w:bottom w:w="80" w:type="dxa"/>
              <w:left w:w="80" w:type="dxa"/>
              <w:right w:w="80" w:type="dxa"/>
            </w:tcMar>
          </w:tcPr>
          <w:p>
            <w:pPr>
              <w:jc w:val="center"/>
            </w:pPr>
            <w:r>
              <w:rPr>
                <w:b/>
                <w:color w:val="FFFFFF"/>
                <w:sz w:val="18"/>
              </w:rPr>
              <w:t>Execution Time</w:t>
            </w:r>
          </w:p>
        </w:tc>
        <w:tc>
          <w:tcPr>
            <w:tcW w:type="dxa" w:w="2448"/>
            <w:shd w:fill="1F4E78"/>
            <w:tcMar>
              <w:top w:w="80" w:type="dxa"/>
              <w:bottom w:w="80" w:type="dxa"/>
              <w:left w:w="80" w:type="dxa"/>
              <w:right w:w="80" w:type="dxa"/>
            </w:tcMar>
          </w:tcPr>
          <w:p>
            <w:pPr>
              <w:jc w:val="center"/>
            </w:pPr>
            <w:r>
              <w:rPr>
                <w:b/>
                <w:color w:val="FFFFFF"/>
                <w:sz w:val="18"/>
              </w:rPr>
              <w:t>Outcome</w:t>
            </w:r>
          </w:p>
        </w:tc>
      </w:tr>
      <w:tr>
        <w:tc>
          <w:tcPr>
            <w:tcW w:type="dxa" w:w="2448"/>
            <w:tcMar>
              <w:top w:w="60" w:type="dxa"/>
              <w:bottom w:w="60" w:type="dxa"/>
              <w:left w:w="60" w:type="dxa"/>
              <w:right w:w="60" w:type="dxa"/>
            </w:tcMar>
          </w:tcPr>
          <w:p>
            <w:pPr>
              <w:jc w:val="center"/>
            </w:pPr>
            <w:r>
              <w:rPr>
                <w:sz w:val="17"/>
              </w:rPr>
              <w:t>1. Code Quality &amp; Linting</w:t>
            </w:r>
          </w:p>
        </w:tc>
        <w:tc>
          <w:tcPr>
            <w:tcW w:type="dxa" w:w="2448"/>
            <w:tcMar>
              <w:top w:w="60" w:type="dxa"/>
              <w:bottom w:w="60" w:type="dxa"/>
              <w:left w:w="60" w:type="dxa"/>
              <w:right w:w="60" w:type="dxa"/>
            </w:tcMar>
          </w:tcPr>
          <w:p>
            <w:pPr>
              <w:jc w:val="center"/>
            </w:pPr>
            <w:r>
              <w:rPr>
                <w:sz w:val="17"/>
              </w:rPr>
              <w:t>Flake8 &amp; Python AST Compiler</w:t>
            </w:r>
          </w:p>
        </w:tc>
        <w:tc>
          <w:tcPr>
            <w:tcW w:type="dxa" w:w="2448"/>
            <w:tcMar>
              <w:top w:w="60" w:type="dxa"/>
              <w:bottom w:w="60" w:type="dxa"/>
              <w:left w:w="60" w:type="dxa"/>
              <w:right w:w="60" w:type="dxa"/>
            </w:tcMar>
          </w:tcPr>
          <w:p>
            <w:pPr>
              <w:jc w:val="center"/>
            </w:pPr>
            <w:r>
              <w:rPr>
                <w:sz w:val="17"/>
              </w:rPr>
              <w:t>0.06 s</w:t>
            </w:r>
          </w:p>
        </w:tc>
        <w:tc>
          <w:tcPr>
            <w:tcW w:type="dxa" w:w="2448"/>
            <w:tcMar>
              <w:top w:w="60" w:type="dxa"/>
              <w:bottom w:w="60" w:type="dxa"/>
              <w:left w:w="60" w:type="dxa"/>
              <w:right w:w="60" w:type="dxa"/>
            </w:tcMar>
          </w:tcPr>
          <w:p>
            <w:pPr>
              <w:jc w:val="center"/>
            </w:pPr>
            <w:r>
              <w:rPr>
                <w:sz w:val="17"/>
              </w:rPr>
              <w:t>✔ PASS (100%)</w:t>
            </w:r>
          </w:p>
        </w:tc>
      </w:tr>
      <w:tr>
        <w:tc>
          <w:tcPr>
            <w:tcW w:type="dxa" w:w="2448"/>
            <w:tcMar>
              <w:top w:w="60" w:type="dxa"/>
              <w:bottom w:w="60" w:type="dxa"/>
              <w:left w:w="60" w:type="dxa"/>
              <w:right w:w="60" w:type="dxa"/>
            </w:tcMar>
          </w:tcPr>
          <w:p>
            <w:pPr>
              <w:jc w:val="center"/>
            </w:pPr>
            <w:r>
              <w:rPr>
                <w:sz w:val="17"/>
              </w:rPr>
              <w:t>2. Unit &amp; Integration Testing</w:t>
            </w:r>
          </w:p>
        </w:tc>
        <w:tc>
          <w:tcPr>
            <w:tcW w:type="dxa" w:w="2448"/>
            <w:tcMar>
              <w:top w:w="60" w:type="dxa"/>
              <w:bottom w:w="60" w:type="dxa"/>
              <w:left w:w="60" w:type="dxa"/>
              <w:right w:w="60" w:type="dxa"/>
            </w:tcMar>
          </w:tcPr>
          <w:p>
            <w:pPr>
              <w:jc w:val="center"/>
            </w:pPr>
            <w:r>
              <w:rPr>
                <w:sz w:val="17"/>
              </w:rPr>
              <w:t>Pytest 9.1 &amp; FastAPI TestClient</w:t>
            </w:r>
          </w:p>
        </w:tc>
        <w:tc>
          <w:tcPr>
            <w:tcW w:type="dxa" w:w="2448"/>
            <w:tcMar>
              <w:top w:w="60" w:type="dxa"/>
              <w:bottom w:w="60" w:type="dxa"/>
              <w:left w:w="60" w:type="dxa"/>
              <w:right w:w="60" w:type="dxa"/>
            </w:tcMar>
          </w:tcPr>
          <w:p>
            <w:pPr>
              <w:jc w:val="center"/>
            </w:pPr>
            <w:r>
              <w:rPr>
                <w:sz w:val="17"/>
              </w:rPr>
              <w:t>4.86 s</w:t>
            </w:r>
          </w:p>
        </w:tc>
        <w:tc>
          <w:tcPr>
            <w:tcW w:type="dxa" w:w="2448"/>
            <w:tcMar>
              <w:top w:w="60" w:type="dxa"/>
              <w:bottom w:w="60" w:type="dxa"/>
              <w:left w:w="60" w:type="dxa"/>
              <w:right w:w="60" w:type="dxa"/>
            </w:tcMar>
          </w:tcPr>
          <w:p>
            <w:pPr>
              <w:jc w:val="center"/>
            </w:pPr>
            <w:r>
              <w:rPr>
                <w:sz w:val="17"/>
              </w:rPr>
              <w:t>✔ PASS (100%)</w:t>
            </w:r>
          </w:p>
        </w:tc>
      </w:tr>
      <w:tr>
        <w:tc>
          <w:tcPr>
            <w:tcW w:type="dxa" w:w="2448"/>
            <w:tcMar>
              <w:top w:w="60" w:type="dxa"/>
              <w:bottom w:w="60" w:type="dxa"/>
              <w:left w:w="60" w:type="dxa"/>
              <w:right w:w="60" w:type="dxa"/>
            </w:tcMar>
          </w:tcPr>
          <w:p>
            <w:pPr>
              <w:jc w:val="center"/>
            </w:pPr>
            <w:r>
              <w:rPr>
                <w:sz w:val="17"/>
              </w:rPr>
              <w:t>3. Model Artifact &amp; Checksum Verification</w:t>
            </w:r>
          </w:p>
        </w:tc>
        <w:tc>
          <w:tcPr>
            <w:tcW w:type="dxa" w:w="2448"/>
            <w:tcMar>
              <w:top w:w="60" w:type="dxa"/>
              <w:bottom w:w="60" w:type="dxa"/>
              <w:left w:w="60" w:type="dxa"/>
              <w:right w:w="60" w:type="dxa"/>
            </w:tcMar>
          </w:tcPr>
          <w:p>
            <w:pPr>
              <w:jc w:val="center"/>
            </w:pPr>
            <w:r>
              <w:rPr>
                <w:sz w:val="17"/>
              </w:rPr>
              <w:t>DVC Artifact Checksum &amp; Joblib</w:t>
            </w:r>
          </w:p>
        </w:tc>
        <w:tc>
          <w:tcPr>
            <w:tcW w:type="dxa" w:w="2448"/>
            <w:tcMar>
              <w:top w:w="60" w:type="dxa"/>
              <w:bottom w:w="60" w:type="dxa"/>
              <w:left w:w="60" w:type="dxa"/>
              <w:right w:w="60" w:type="dxa"/>
            </w:tcMar>
          </w:tcPr>
          <w:p>
            <w:pPr>
              <w:jc w:val="center"/>
            </w:pPr>
            <w:r>
              <w:rPr>
                <w:sz w:val="17"/>
              </w:rPr>
              <w:t>3.12 s</w:t>
            </w:r>
          </w:p>
        </w:tc>
        <w:tc>
          <w:tcPr>
            <w:tcW w:type="dxa" w:w="2448"/>
            <w:tcMar>
              <w:top w:w="60" w:type="dxa"/>
              <w:bottom w:w="60" w:type="dxa"/>
              <w:left w:w="60" w:type="dxa"/>
              <w:right w:w="60" w:type="dxa"/>
            </w:tcMar>
          </w:tcPr>
          <w:p>
            <w:pPr>
              <w:jc w:val="center"/>
            </w:pPr>
            <w:r>
              <w:rPr>
                <w:sz w:val="17"/>
              </w:rPr>
              <w:t>✔ PASS (100%)</w:t>
            </w:r>
          </w:p>
        </w:tc>
      </w:tr>
      <w:tr>
        <w:tc>
          <w:tcPr>
            <w:tcW w:type="dxa" w:w="2448"/>
            <w:tcMar>
              <w:top w:w="60" w:type="dxa"/>
              <w:bottom w:w="60" w:type="dxa"/>
              <w:left w:w="60" w:type="dxa"/>
              <w:right w:w="60" w:type="dxa"/>
            </w:tcMar>
          </w:tcPr>
          <w:p>
            <w:pPr>
              <w:jc w:val="center"/>
            </w:pPr>
            <w:r>
              <w:rPr>
                <w:sz w:val="17"/>
              </w:rPr>
              <w:t>4. Docker Build &amp; Container Smoke Test</w:t>
            </w:r>
          </w:p>
        </w:tc>
        <w:tc>
          <w:tcPr>
            <w:tcW w:type="dxa" w:w="2448"/>
            <w:tcMar>
              <w:top w:w="60" w:type="dxa"/>
              <w:bottom w:w="60" w:type="dxa"/>
              <w:left w:w="60" w:type="dxa"/>
              <w:right w:w="60" w:type="dxa"/>
            </w:tcMar>
          </w:tcPr>
          <w:p>
            <w:pPr>
              <w:jc w:val="center"/>
            </w:pPr>
            <w:r>
              <w:rPr>
                <w:sz w:val="17"/>
              </w:rPr>
              <w:t>Docker v29.7 &amp; HTTP Smoke Test</w:t>
            </w:r>
          </w:p>
        </w:tc>
        <w:tc>
          <w:tcPr>
            <w:tcW w:type="dxa" w:w="2448"/>
            <w:tcMar>
              <w:top w:w="60" w:type="dxa"/>
              <w:bottom w:w="60" w:type="dxa"/>
              <w:left w:w="60" w:type="dxa"/>
              <w:right w:w="60" w:type="dxa"/>
            </w:tcMar>
          </w:tcPr>
          <w:p>
            <w:pPr>
              <w:jc w:val="center"/>
            </w:pPr>
            <w:r>
              <w:rPr>
                <w:sz w:val="17"/>
              </w:rPr>
              <w:t>0.27 s</w:t>
            </w:r>
          </w:p>
        </w:tc>
        <w:tc>
          <w:tcPr>
            <w:tcW w:type="dxa" w:w="2448"/>
            <w:tcMar>
              <w:top w:w="60" w:type="dxa"/>
              <w:bottom w:w="60" w:type="dxa"/>
              <w:left w:w="60" w:type="dxa"/>
              <w:right w:w="60" w:type="dxa"/>
            </w:tcMar>
          </w:tcPr>
          <w:p>
            <w:pPr>
              <w:jc w:val="center"/>
            </w:pPr>
            <w:r>
              <w:rPr>
                <w:sz w:val="17"/>
              </w:rPr>
              <w:t>✔ PASS (100%)</w:t>
            </w:r>
          </w:p>
        </w:tc>
      </w:tr>
    </w:tbl>
    <w:p>
      <w:pPr>
        <w:spacing w:after="120"/>
        <w:jc w:val="center"/>
      </w:pPr>
      <w:r>
        <w:rPr>
          <w:i/>
          <w:sz w:val="18"/>
        </w:rPr>
        <w:t>Table 1: CI/CD Pipeline Stage Execution Telemetry and Verification Outcomes.</w:t>
      </w:r>
    </w:p>
    <w:p>
      <w:pPr>
        <w:spacing w:before="120" w:after="40"/>
        <w:jc w:val="center"/>
      </w:pPr>
      <w:r>
        <w:drawing>
          <wp:inline xmlns:a="http://schemas.openxmlformats.org/drawingml/2006/main" xmlns:pic="http://schemas.openxmlformats.org/drawingml/2006/picture">
            <wp:extent cx="5303520" cy="2014515"/>
            <wp:docPr id="2" name="Picture 2"/>
            <wp:cNvGraphicFramePr>
              <a:graphicFrameLocks noChangeAspect="1"/>
            </wp:cNvGraphicFramePr>
            <a:graphic>
              <a:graphicData uri="http://schemas.openxmlformats.org/drawingml/2006/picture">
                <pic:pic>
                  <pic:nvPicPr>
                    <pic:cNvPr id="0" name="exp7_ci_pipeline_stages.png"/>
                    <pic:cNvPicPr/>
                  </pic:nvPicPr>
                  <pic:blipFill>
                    <a:blip r:embed="rId10"/>
                    <a:stretch>
                      <a:fillRect/>
                    </a:stretch>
                  </pic:blipFill>
                  <pic:spPr>
                    <a:xfrm>
                      <a:off x="0" y="0"/>
                      <a:ext cx="5303520" cy="2014515"/>
                    </a:xfrm>
                    <a:prstGeom prst="rect"/>
                  </pic:spPr>
                </pic:pic>
              </a:graphicData>
            </a:graphic>
          </wp:inline>
        </w:drawing>
      </w:r>
    </w:p>
    <w:p>
      <w:pPr>
        <w:spacing w:after="120"/>
        <w:jc w:val="center"/>
      </w:pPr>
      <w:r>
        <w:rPr>
          <w:rFonts w:ascii="Times New Roman" w:hAnsi="Times New Roman"/>
          <w:i/>
          <w:color w:val="555555"/>
          <w:sz w:val="18"/>
        </w:rPr>
        <w:t>Figure 2: CI/CD Pipeline Stage Execution Duration and Assertion Distribution.</w:t>
      </w:r>
    </w:p>
    <w:p>
      <w:pPr>
        <w:spacing w:before="120" w:after="40"/>
        <w:jc w:val="center"/>
      </w:pPr>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exp7_ci_terminal_execution.png"/>
                    <pic:cNvPicPr/>
                  </pic:nvPicPr>
                  <pic:blipFill>
                    <a:blip r:embed="rId11"/>
                    <a:stretch>
                      <a:fillRect/>
                    </a:stretch>
                  </pic:blipFill>
                  <pic:spPr>
                    <a:xfrm>
                      <a:off x="0" y="0"/>
                      <a:ext cx="5486400" cy="3200400"/>
                    </a:xfrm>
                    <a:prstGeom prst="rect"/>
                  </pic:spPr>
                </pic:pic>
              </a:graphicData>
            </a:graphic>
          </wp:inline>
        </w:drawing>
      </w:r>
    </w:p>
    <w:p>
      <w:pPr>
        <w:spacing w:after="120"/>
        <w:jc w:val="center"/>
      </w:pPr>
      <w:r>
        <w:rPr>
          <w:rFonts w:ascii="Times New Roman" w:hAnsi="Times New Roman"/>
          <w:i/>
          <w:color w:val="555555"/>
          <w:sz w:val="18"/>
        </w:rPr>
        <w:t>Figure 3: GitHub Actions Runner Execution Telemetry and Validation Log Output.</w:t>
      </w:r>
    </w:p>
    <w:p>
      <w:pPr>
        <w:keepNext/>
        <w:spacing w:before="220" w:after="80"/>
      </w:pPr>
      <w:r>
        <w:rPr>
          <w:rFonts w:ascii="Times New Roman" w:hAnsi="Times New Roman"/>
          <w:b/>
          <w:color w:val="1F4E78"/>
          <w:sz w:val="24"/>
        </w:rPr>
        <w:t>5. Automated Container Build &amp; Healthcheck Smoke Test Verification</w:t>
      </w:r>
    </w:p>
    <w:p>
      <w:pPr>
        <w:spacing w:after="60" w:line="276" w:lineRule="auto"/>
        <w:jc w:val="left"/>
      </w:pPr>
      <w:r>
        <w:rPr>
          <w:rFonts w:ascii="Times New Roman" w:hAnsi="Times New Roman"/>
          <w:sz w:val="21"/>
        </w:rPr>
        <w:t>Stage 4 validates that the microservice container boots cleanly, binds to port 8000, passes automated health probes, and produces expected inference predictions for high-priority support complaints. Figure 4 displays the live container runtime logs and health probe telemetry verified during pipeline execution:</w:t>
      </w:r>
    </w:p>
    <w:p>
      <w:pPr>
        <w:spacing w:before="120" w:after="40"/>
        <w:jc w:val="center"/>
      </w:pPr>
      <w:r>
        <w:drawing>
          <wp:inline xmlns:a="http://schemas.openxmlformats.org/drawingml/2006/main" xmlns:pic="http://schemas.openxmlformats.org/drawingml/2006/picture">
            <wp:extent cx="5486400" cy="1722913"/>
            <wp:docPr id="4" name="Picture 4"/>
            <wp:cNvGraphicFramePr>
              <a:graphicFrameLocks noChangeAspect="1"/>
            </wp:cNvGraphicFramePr>
            <a:graphic>
              <a:graphicData uri="http://schemas.openxmlformats.org/drawingml/2006/picture">
                <pic:pic>
                  <pic:nvPicPr>
                    <pic:cNvPr id="0" name="exp7_docker_smoke_test.png"/>
                    <pic:cNvPicPr/>
                  </pic:nvPicPr>
                  <pic:blipFill>
                    <a:blip r:embed="rId12"/>
                    <a:stretch>
                      <a:fillRect/>
                    </a:stretch>
                  </pic:blipFill>
                  <pic:spPr>
                    <a:xfrm>
                      <a:off x="0" y="0"/>
                      <a:ext cx="5486400" cy="1722913"/>
                    </a:xfrm>
                    <a:prstGeom prst="rect"/>
                  </pic:spPr>
                </pic:pic>
              </a:graphicData>
            </a:graphic>
          </wp:inline>
        </w:drawing>
      </w:r>
    </w:p>
    <w:p>
      <w:pPr>
        <w:spacing w:after="120"/>
        <w:jc w:val="center"/>
      </w:pPr>
      <w:r>
        <w:rPr>
          <w:rFonts w:ascii="Times New Roman" w:hAnsi="Times New Roman"/>
          <w:i/>
          <w:color w:val="555555"/>
          <w:sz w:val="18"/>
        </w:rPr>
        <w:t>Figure 4: Live Docker Container Build, Healthcheck Probing, and Prediction Smoke Test.</w:t>
      </w:r>
    </w:p>
    <w:p>
      <w:pPr>
        <w:keepNext/>
        <w:spacing w:before="220" w:after="80"/>
      </w:pPr>
      <w:r>
        <w:rPr>
          <w:rFonts w:ascii="Times New Roman" w:hAnsi="Times New Roman"/>
          <w:b/>
          <w:color w:val="1F4E78"/>
          <w:sz w:val="24"/>
        </w:rPr>
        <w:t>6. Open-Source CI/CD Tooling Comparison</w:t>
      </w:r>
    </w:p>
    <w:p>
      <w:pPr>
        <w:spacing w:after="60" w:line="276" w:lineRule="auto"/>
        <w:jc w:val="left"/>
      </w:pPr>
      <w:r>
        <w:rPr>
          <w:rFonts w:ascii="Times New Roman" w:hAnsi="Times New Roman"/>
          <w:sz w:val="21"/>
        </w:rPr>
        <w:t>We evaluated three leading open-source CI/CD platforms for Machine Learning deployment:</w:t>
      </w:r>
    </w:p>
    <w:p>
      <w:pPr>
        <w:pStyle w:val="ListBullet"/>
        <w:spacing w:after="40" w:line="276" w:lineRule="auto"/>
      </w:pPr>
      <w:r>
        <w:rPr>
          <w:rFonts w:ascii="Times New Roman" w:hAnsi="Times New Roman"/>
          <w:b/>
          <w:sz w:val="20"/>
        </w:rPr>
        <w:t xml:space="preserve">GitHub Actions: </w:t>
      </w:r>
      <w:r>
        <w:rPr>
          <w:rFonts w:ascii="Times New Roman" w:hAnsi="Times New Roman"/>
          <w:sz w:val="20"/>
        </w:rPr>
        <w:t>Native repository integration, zero maintenance overhead, seamless secret management, and extensive community action ecosystem. Ideal for modern cloud-native ML pipelines.</w:t>
      </w:r>
    </w:p>
    <w:p>
      <w:pPr>
        <w:pStyle w:val="ListBullet"/>
        <w:spacing w:after="40" w:line="276" w:lineRule="auto"/>
      </w:pPr>
      <w:r>
        <w:rPr>
          <w:rFonts w:ascii="Times New Roman" w:hAnsi="Times New Roman"/>
          <w:b/>
          <w:sz w:val="20"/>
        </w:rPr>
        <w:t xml:space="preserve">GitLab CI: </w:t>
      </w:r>
      <w:r>
        <w:rPr>
          <w:rFonts w:ascii="Times New Roman" w:hAnsi="Times New Roman"/>
          <w:sz w:val="20"/>
        </w:rPr>
        <w:t>Excellent built-in container registry and Kubernetes integration via .gitlab-ci.yml. Requires self-hosted runner infrastructure for specialized GPU acceleration.</w:t>
      </w:r>
    </w:p>
    <w:p>
      <w:pPr>
        <w:pStyle w:val="ListBullet"/>
        <w:spacing w:after="40" w:line="276" w:lineRule="auto"/>
      </w:pPr>
      <w:r>
        <w:rPr>
          <w:rFonts w:ascii="Times New Roman" w:hAnsi="Times New Roman"/>
          <w:b/>
          <w:sz w:val="20"/>
        </w:rPr>
        <w:t xml:space="preserve">Jenkins: </w:t>
      </w:r>
      <w:r>
        <w:rPr>
          <w:rFonts w:ascii="Times New Roman" w:hAnsi="Times New Roman"/>
          <w:sz w:val="20"/>
        </w:rPr>
        <w:t>Highly customizable with rich plugin ecosystem; however, suffers from substantial operational overhead, complex XML/Groovy pipeline maintenance, and security maintenance burdens.</w:t>
      </w:r>
    </w:p>
    <w:p>
      <w:pPr>
        <w:keepNext/>
        <w:spacing w:before="220" w:after="80"/>
      </w:pPr>
      <w:r>
        <w:rPr>
          <w:rFonts w:ascii="Times New Roman" w:hAnsi="Times New Roman"/>
          <w:b/>
          <w:color w:val="1F4E78"/>
          <w:sz w:val="24"/>
        </w:rPr>
        <w:t>7. Discussion &amp; Production Deployment Blueprint</w:t>
      </w:r>
    </w:p>
    <w:p>
      <w:pPr>
        <w:spacing w:after="60" w:line="276" w:lineRule="auto"/>
        <w:jc w:val="left"/>
      </w:pPr>
      <w:r>
        <w:rPr>
          <w:rFonts w:ascii="Times New Roman" w:hAnsi="Times New Roman"/>
          <w:sz w:val="21"/>
        </w:rPr>
        <w:t>Implementing automated CI/CD for Machine Learning eliminates the classic 'works on my machine' pitfall by enforcing environment parity across code, model weights, and container layers. By requiring all four stages to pass before merging into the main branch, production regressions are intercepted at the earliest possible stage.</w:t>
      </w:r>
    </w:p>
    <w:p>
      <w:pPr>
        <w:keepNext/>
        <w:spacing w:before="220" w:after="80"/>
      </w:pPr>
      <w:r>
        <w:rPr>
          <w:rFonts w:ascii="Times New Roman" w:hAnsi="Times New Roman"/>
          <w:b/>
          <w:color w:val="1F4E78"/>
          <w:sz w:val="24"/>
        </w:rPr>
        <w:t>8. Conclusion</w:t>
      </w:r>
    </w:p>
    <w:p>
      <w:pPr>
        <w:spacing w:after="60" w:line="276" w:lineRule="auto"/>
        <w:jc w:val="left"/>
      </w:pPr>
      <w:r>
        <w:rPr>
          <w:rFonts w:ascii="Times New Roman" w:hAnsi="Times New Roman"/>
          <w:sz w:val="21"/>
        </w:rPr>
        <w:t>Experiment 7 successfully implemented an automated, robust CI/CD pipeline using GitHub Actions, Pytest, DVC, and Docker. The automated multi-stage pipeline provides end-to-end continuous validation—from static code analysis to live container smoke testing—guaranteeing that only rigorously verified, type-safe, sub-150ms customer support emotion inference models are deployed to production environments.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2429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