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31"/>
        </w:rPr>
        <w:t>Experiment 8</w:t>
        <w:br/>
      </w:r>
      <w:r>
        <w:rPr>
          <w:b/>
          <w:color w:val="1E3A8A"/>
          <w:sz w:val="24"/>
        </w:rPr>
        <w:t>Aim: Interactive Dashboard, Responsible AI Reporting &amp; Final Portfolio</w:t>
      </w:r>
    </w:p>
    <w:p>
      <w:pPr>
        <w:spacing w:after="100"/>
        <w:jc w:val="center"/>
      </w:pPr>
      <w:r>
        <w:rPr>
          <w:color w:val="64748B"/>
          <w:sz w:val="18"/>
        </w:rPr>
        <w:t>Course: Applied Data Science (ADS)  |  Domain: Full-Stack MLOps &amp; AI Governance  |  Stack: Streamlit, Plotly, Fairlearn, Docker, Render PaaS</w:t>
      </w:r>
    </w:p>
    <w:p>
      <w:pPr>
        <w:keepNext/>
        <w:spacing w:before="240" w:after="70"/>
      </w:pPr>
      <w:r>
        <w:rPr>
          <w:rFonts w:ascii="Times New Roman" w:hAnsi="Times New Roman"/>
          <w:b/>
          <w:color w:val="1E3A8A"/>
          <w:sz w:val="24"/>
        </w:rPr>
        <w:t>Syllabus Scope, Objectives &amp; Verified Deliverables</w:t>
      </w:r>
    </w:p>
    <w:p>
      <w:pPr>
        <w:pStyle w:val="ListBullet"/>
        <w:spacing w:after="40" w:line="269" w:lineRule="auto"/>
      </w:pPr>
      <w:r>
        <w:rPr>
          <w:rFonts w:ascii="Times New Roman" w:hAnsi="Times New Roman"/>
          <w:b/>
          <w:sz w:val="19"/>
        </w:rPr>
        <w:t xml:space="preserve">Aim &amp; Objective: </w:t>
      </w:r>
      <w:r>
        <w:rPr>
          <w:rFonts w:ascii="Times New Roman" w:hAnsi="Times New Roman"/>
          <w:sz w:val="19"/>
        </w:rPr>
        <w:t>Build Streamlit/Dash dashboard, write Responsible AI report, and publish final repository with live cloud deployment.</w:t>
      </w:r>
    </w:p>
    <w:p>
      <w:pPr>
        <w:pStyle w:val="ListBullet"/>
        <w:spacing w:after="40" w:line="269" w:lineRule="auto"/>
      </w:pPr>
      <w:r>
        <w:rPr>
          <w:rFonts w:ascii="Times New Roman" w:hAnsi="Times New Roman"/>
          <w:b/>
          <w:sz w:val="19"/>
        </w:rPr>
        <w:t xml:space="preserve">Detailed Step 1 (Dashboard): </w:t>
      </w:r>
      <w:r>
        <w:rPr>
          <w:rFonts w:ascii="Times New Roman" w:hAnsi="Times New Roman"/>
          <w:sz w:val="19"/>
        </w:rPr>
        <w:t>Develop operational dashboard for real-time predictions, urgency scoring, SLA gates, and insights.</w:t>
      </w:r>
    </w:p>
    <w:p>
      <w:pPr>
        <w:pStyle w:val="ListBullet"/>
        <w:spacing w:after="40" w:line="269" w:lineRule="auto"/>
      </w:pPr>
      <w:r>
        <w:rPr>
          <w:rFonts w:ascii="Times New Roman" w:hAnsi="Times New Roman"/>
          <w:b/>
          <w:sz w:val="19"/>
        </w:rPr>
        <w:t xml:space="preserve">Detailed Step 2 (XAI &amp; Drift): </w:t>
      </w:r>
      <w:r>
        <w:rPr>
          <w:rFonts w:ascii="Times New Roman" w:hAnsi="Times New Roman"/>
          <w:sz w:val="19"/>
        </w:rPr>
        <w:t>Include token-level SHAP attributions, operational metrics, and Population Stability Index (PSI) drift checks.</w:t>
      </w:r>
    </w:p>
    <w:p>
      <w:pPr>
        <w:pStyle w:val="ListBullet"/>
        <w:spacing w:after="40" w:line="269" w:lineRule="auto"/>
      </w:pPr>
      <w:r>
        <w:rPr>
          <w:rFonts w:ascii="Times New Roman" w:hAnsi="Times New Roman"/>
          <w:b/>
          <w:sz w:val="19"/>
        </w:rPr>
        <w:t xml:space="preserve">Detailed Step 3 (Responsible AI): </w:t>
      </w:r>
      <w:r>
        <w:rPr>
          <w:rFonts w:ascii="Times New Roman" w:hAnsi="Times New Roman"/>
          <w:sz w:val="19"/>
        </w:rPr>
        <w:t>Author comprehensive Responsible AI checklist (fairness, privacy, consent, safety, governance).</w:t>
      </w:r>
    </w:p>
    <w:p>
      <w:pPr>
        <w:pStyle w:val="ListBullet"/>
        <w:spacing w:after="40" w:line="269" w:lineRule="auto"/>
      </w:pPr>
      <w:r>
        <w:rPr>
          <w:rFonts w:ascii="Times New Roman" w:hAnsi="Times New Roman"/>
          <w:b/>
          <w:sz w:val="19"/>
        </w:rPr>
        <w:t xml:space="preserve">Detailed Step 4 (Publishing): </w:t>
      </w:r>
      <w:r>
        <w:rPr>
          <w:rFonts w:ascii="Times New Roman" w:hAnsi="Times New Roman"/>
          <w:sz w:val="19"/>
        </w:rPr>
        <w:t>Publish final code, interactive notebooks, REST API, and containerized cloud workflow on GitHub.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016"/>
            <w:shd w:fill="1E3A8A"/>
            <w:tcMar>
              <w:top w:w="80" w:type="dxa"/>
              <w:bottom w:w="80" w:type="dxa"/>
              <w:left w:w="100" w:type="dxa"/>
              <w:right w:w="100" w:type="dxa"/>
            </w:tcMar>
          </w:tcPr>
          <w:p>
            <w:pPr>
              <w:jc w:val="left"/>
            </w:pPr>
            <w:r>
              <w:rPr>
                <w:rFonts w:ascii="Times New Roman" w:hAnsi="Times New Roman"/>
                <w:b/>
                <w:color w:val="FFFFFF"/>
                <w:sz w:val="17"/>
              </w:rPr>
              <w:t>Deliverable</w:t>
            </w:r>
          </w:p>
        </w:tc>
        <w:tc>
          <w:tcPr>
            <w:tcW w:type="dxa" w:w="3168"/>
            <w:shd w:fill="1E3A8A"/>
            <w:tcMar>
              <w:top w:w="80" w:type="dxa"/>
              <w:bottom w:w="80" w:type="dxa"/>
              <w:left w:w="100" w:type="dxa"/>
              <w:right w:w="100" w:type="dxa"/>
            </w:tcMar>
          </w:tcPr>
          <w:p>
            <w:pPr>
              <w:jc w:val="left"/>
            </w:pPr>
            <w:r>
              <w:rPr>
                <w:rFonts w:ascii="Times New Roman" w:hAnsi="Times New Roman"/>
                <w:b/>
                <w:color w:val="FFFFFF"/>
                <w:sz w:val="17"/>
              </w:rPr>
              <w:t>Technical Scope</w:t>
            </w:r>
          </w:p>
        </w:tc>
        <w:tc>
          <w:tcPr>
            <w:tcW w:type="dxa" w:w="3744"/>
            <w:shd w:fill="1E3A8A"/>
            <w:tcMar>
              <w:top w:w="80" w:type="dxa"/>
              <w:bottom w:w="80" w:type="dxa"/>
              <w:left w:w="100" w:type="dxa"/>
              <w:right w:w="100" w:type="dxa"/>
            </w:tcMar>
          </w:tcPr>
          <w:p>
            <w:pPr>
              <w:jc w:val="left"/>
            </w:pPr>
            <w:r>
              <w:rPr>
                <w:rFonts w:ascii="Times New Roman" w:hAnsi="Times New Roman"/>
                <w:b/>
                <w:color w:val="FFFFFF"/>
                <w:sz w:val="17"/>
              </w:rPr>
              <w:t>Public Cloud URL / Link</w:t>
            </w:r>
          </w:p>
        </w:tc>
        <w:tc>
          <w:tcPr>
            <w:tcW w:type="dxa" w:w="1008"/>
            <w:shd w:fill="1E3A8A"/>
            <w:tcMar>
              <w:top w:w="80" w:type="dxa"/>
              <w:bottom w:w="80" w:type="dxa"/>
              <w:left w:w="100" w:type="dxa"/>
              <w:right w:w="100" w:type="dxa"/>
            </w:tcMar>
          </w:tcPr>
          <w:p>
            <w:pPr>
              <w:jc w:val="left"/>
            </w:pPr>
            <w:r>
              <w:rPr>
                <w:rFonts w:ascii="Times New Roman" w:hAnsi="Times New Roman"/>
                <w:b/>
                <w:color w:val="FFFFFF"/>
                <w:sz w:val="17"/>
              </w:rPr>
              <w:t>Status</w:t>
            </w:r>
          </w:p>
        </w:tc>
      </w:tr>
      <w:tr>
        <w:tc>
          <w:tcPr>
            <w:tcW w:type="dxa" w:w="2016"/>
            <w:shd w:fill="FFFFFF"/>
            <w:tcMar>
              <w:top w:w="60" w:type="dxa"/>
              <w:bottom w:w="60" w:type="dxa"/>
              <w:left w:w="100" w:type="dxa"/>
              <w:right w:w="100" w:type="dxa"/>
            </w:tcMar>
          </w:tcPr>
          <w:p>
            <w:pPr>
              <w:jc w:val="left"/>
            </w:pPr>
            <w:r>
              <w:rPr>
                <w:rFonts w:ascii="Times New Roman" w:hAnsi="Times New Roman"/>
                <w:sz w:val="16"/>
              </w:rPr>
              <w:t>Streamlit App Link</w:t>
            </w:r>
          </w:p>
        </w:tc>
        <w:tc>
          <w:tcPr>
            <w:tcW w:type="dxa" w:w="3168"/>
            <w:shd w:fill="FFFFFF"/>
            <w:tcMar>
              <w:top w:w="60" w:type="dxa"/>
              <w:bottom w:w="60" w:type="dxa"/>
              <w:left w:w="100" w:type="dxa"/>
              <w:right w:w="100" w:type="dxa"/>
            </w:tcMar>
          </w:tcPr>
          <w:p>
            <w:pPr>
              <w:jc w:val="left"/>
            </w:pPr>
            <w:r>
              <w:rPr>
                <w:rFonts w:ascii="Times New Roman" w:hAnsi="Times New Roman"/>
                <w:sz w:val="16"/>
              </w:rPr>
              <w:t>Live Cloud Operations Dashboard (Render PaaS)</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https://adsproject.onrender.com</w:t>
            </w:r>
          </w:p>
        </w:tc>
        <w:tc>
          <w:tcPr>
            <w:tcW w:type="dxa" w:w="1008"/>
            <w:shd w:fill="FFFFFF"/>
            <w:tcMar>
              <w:top w:w="60" w:type="dxa"/>
              <w:bottom w:w="60" w:type="dxa"/>
              <w:left w:w="100" w:type="dxa"/>
              <w:right w:w="100" w:type="dxa"/>
            </w:tcMar>
          </w:tcPr>
          <w:p>
            <w:pPr>
              <w:jc w:val="center"/>
            </w:pPr>
            <w:r>
              <w:rPr>
                <w:rFonts w:ascii="Times New Roman" w:hAnsi="Times New Roman"/>
                <w:sz w:val="16"/>
              </w:rPr>
              <w:t>✔ LIVE</w:t>
            </w:r>
          </w:p>
        </w:tc>
      </w:tr>
      <w:tr>
        <w:tc>
          <w:tcPr>
            <w:tcW w:type="dxa" w:w="2016"/>
            <w:shd w:fill="F8FAFC"/>
            <w:tcMar>
              <w:top w:w="60" w:type="dxa"/>
              <w:bottom w:w="60" w:type="dxa"/>
              <w:left w:w="100" w:type="dxa"/>
              <w:right w:w="100" w:type="dxa"/>
            </w:tcMar>
          </w:tcPr>
          <w:p>
            <w:pPr>
              <w:jc w:val="left"/>
            </w:pPr>
            <w:r>
              <w:rPr>
                <w:rFonts w:ascii="Times New Roman" w:hAnsi="Times New Roman"/>
                <w:sz w:val="16"/>
              </w:rPr>
              <w:t>Responsible_AI.md</w:t>
            </w:r>
          </w:p>
        </w:tc>
        <w:tc>
          <w:tcPr>
            <w:tcW w:type="dxa" w:w="3168"/>
            <w:shd w:fill="F8FAFC"/>
            <w:tcMar>
              <w:top w:w="60" w:type="dxa"/>
              <w:bottom w:w="60" w:type="dxa"/>
              <w:left w:w="100" w:type="dxa"/>
              <w:right w:w="100" w:type="dxa"/>
            </w:tcMar>
          </w:tcPr>
          <w:p>
            <w:pPr>
              <w:jc w:val="left"/>
            </w:pPr>
            <w:r>
              <w:rPr>
                <w:rFonts w:ascii="Times New Roman" w:hAnsi="Times New Roman"/>
                <w:sz w:val="16"/>
              </w:rPr>
              <w:t>Ethical AI Governance Charter &amp; Checklist</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https://github.com/adityaacharya7/ADSproject/blob/main/Responsible_AI.md</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r>
        <w:tc>
          <w:tcPr>
            <w:tcW w:type="dxa" w:w="2016"/>
            <w:shd w:fill="FFFFFF"/>
            <w:tcMar>
              <w:top w:w="60" w:type="dxa"/>
              <w:bottom w:w="60" w:type="dxa"/>
              <w:left w:w="100" w:type="dxa"/>
              <w:right w:w="100" w:type="dxa"/>
            </w:tcMar>
          </w:tcPr>
          <w:p>
            <w:pPr>
              <w:jc w:val="left"/>
            </w:pPr>
            <w:r>
              <w:rPr>
                <w:rFonts w:ascii="Times New Roman" w:hAnsi="Times New Roman"/>
                <w:sz w:val="16"/>
              </w:rPr>
              <w:t>Final Public Repo</w:t>
            </w:r>
          </w:p>
        </w:tc>
        <w:tc>
          <w:tcPr>
            <w:tcW w:type="dxa" w:w="3168"/>
            <w:shd w:fill="FFFFFF"/>
            <w:tcMar>
              <w:top w:w="60" w:type="dxa"/>
              <w:bottom w:w="60" w:type="dxa"/>
              <w:left w:w="100" w:type="dxa"/>
              <w:right w:w="100" w:type="dxa"/>
            </w:tcMar>
          </w:tcPr>
          <w:p>
            <w:pPr>
              <w:jc w:val="left"/>
            </w:pPr>
            <w:r>
              <w:rPr>
                <w:rFonts w:ascii="Times New Roman" w:hAnsi="Times New Roman"/>
                <w:sz w:val="16"/>
              </w:rPr>
              <w:t>Standalone Production Microservice Repository</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https://github.com/adityaacharya7/ADSproject</w:t>
            </w:r>
          </w:p>
        </w:tc>
        <w:tc>
          <w:tcPr>
            <w:tcW w:type="dxa" w:w="1008"/>
            <w:shd w:fill="FFFFFF"/>
            <w:tcMar>
              <w:top w:w="60" w:type="dxa"/>
              <w:bottom w:w="60" w:type="dxa"/>
              <w:left w:w="100" w:type="dxa"/>
              <w:right w:w="100" w:type="dxa"/>
            </w:tcMar>
          </w:tcPr>
          <w:p>
            <w:pPr>
              <w:jc w:val="center"/>
            </w:pPr>
            <w:r>
              <w:rPr>
                <w:rFonts w:ascii="Times New Roman" w:hAnsi="Times New Roman"/>
                <w:sz w:val="16"/>
              </w:rPr>
              <w:t>✔ SYNCED</w:t>
            </w:r>
          </w:p>
        </w:tc>
      </w:tr>
      <w:tr>
        <w:tc>
          <w:tcPr>
            <w:tcW w:type="dxa" w:w="2016"/>
            <w:shd w:fill="F8FAFC"/>
            <w:tcMar>
              <w:top w:w="60" w:type="dxa"/>
              <w:bottom w:w="60" w:type="dxa"/>
              <w:left w:w="100" w:type="dxa"/>
              <w:right w:w="100" w:type="dxa"/>
            </w:tcMar>
          </w:tcPr>
          <w:p>
            <w:pPr>
              <w:jc w:val="left"/>
            </w:pPr>
            <w:r>
              <w:rPr>
                <w:rFonts w:ascii="Times New Roman" w:hAnsi="Times New Roman"/>
                <w:sz w:val="16"/>
              </w:rPr>
              <w:t>Portfolio Notebook</w:t>
            </w:r>
          </w:p>
        </w:tc>
        <w:tc>
          <w:tcPr>
            <w:tcW w:type="dxa" w:w="3168"/>
            <w:shd w:fill="F8FAFC"/>
            <w:tcMar>
              <w:top w:w="60" w:type="dxa"/>
              <w:bottom w:w="60" w:type="dxa"/>
              <w:left w:w="100" w:type="dxa"/>
              <w:right w:w="100" w:type="dxa"/>
            </w:tcMar>
          </w:tcPr>
          <w:p>
            <w:pPr>
              <w:jc w:val="left"/>
            </w:pPr>
            <w:r>
              <w:rPr>
                <w:rFonts w:ascii="Times New Roman" w:hAnsi="Times New Roman"/>
                <w:sz w:val="16"/>
              </w:rPr>
              <w:t>Interactive Jupyter Model Evaluation &amp; XAI</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https://github.com/adityaacharya7/ADSproject/blob/main/notebooks/Experiment_8_Portfolio.ipynb</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bl>
    <w:p>
      <w:pPr>
        <w:spacing w:after="60"/>
      </w:pPr>
    </w:p>
    <w:p>
      <w:pPr>
        <w:keepNext/>
        <w:spacing w:before="240" w:after="70"/>
      </w:pPr>
      <w:r>
        <w:rPr>
          <w:rFonts w:ascii="Times New Roman" w:hAnsi="Times New Roman"/>
          <w:b/>
          <w:color w:val="1E3A8A"/>
          <w:sz w:val="24"/>
        </w:rPr>
        <w:t>1. End-to-End System Architecture &amp; Real-Time Intake Portal</w:t>
      </w:r>
    </w:p>
    <w:p>
      <w:pPr>
        <w:spacing w:after="60" w:line="276" w:lineRule="auto"/>
        <w:jc w:val="left"/>
      </w:pPr>
      <w:r>
        <w:rPr>
          <w:rFonts w:ascii="Times New Roman" w:hAnsi="Times New Roman"/>
          <w:sz w:val="20"/>
        </w:rPr>
        <w:t>The production application decouples presentation, inference, monitoring, and cloud hosting into modular layers: (1) Presentation Tier (Streamlit UI), (2) NLP Engine (TF-IDF, VADER &amp; LightGBM), (3) Persistence Store (SQLAlchemy with SQLite/PostgreSQL), (4) Statistical Drift Telemetry, and (5) Containerized Cloud Hosting on Render PaaS with sub-45ms inference latency.</w:t>
      </w:r>
    </w:p>
    <w:p>
      <w:pPr>
        <w:keepNext/>
        <w:spacing w:before="80" w:after="40"/>
        <w:jc w:val="center"/>
      </w:pPr>
      <w:r>
        <w:drawing>
          <wp:inline xmlns:a="http://schemas.openxmlformats.org/drawingml/2006/main" xmlns:pic="http://schemas.openxmlformats.org/drawingml/2006/picture">
            <wp:extent cx="6035040" cy="3484649"/>
            <wp:docPr id="1" name="Picture 1"/>
            <wp:cNvGraphicFramePr>
              <a:graphicFrameLocks noChangeAspect="1"/>
            </wp:cNvGraphicFramePr>
            <a:graphic>
              <a:graphicData uri="http://schemas.openxmlformats.org/drawingml/2006/picture">
                <pic:pic>
                  <pic:nvPicPr>
                    <pic:cNvPr id="0" name="exp8_ui_intake.png"/>
                    <pic:cNvPicPr/>
                  </pic:nvPicPr>
                  <pic:blipFill>
                    <a:blip r:embed="rId9"/>
                    <a:stretch>
                      <a:fillRect/>
                    </a:stretch>
                  </pic:blipFill>
                  <pic:spPr>
                    <a:xfrm>
                      <a:off x="0" y="0"/>
                      <a:ext cx="6035040" cy="3484649"/>
                    </a:xfrm>
                    <a:prstGeom prst="rect"/>
                  </pic:spPr>
                </pic:pic>
              </a:graphicData>
            </a:graphic>
          </wp:inline>
        </w:drawing>
      </w:r>
    </w:p>
    <w:p>
      <w:pPr>
        <w:spacing w:after="120"/>
        <w:jc w:val="center"/>
      </w:pPr>
      <w:r>
        <w:rPr>
          <w:rFonts w:ascii="Times New Roman" w:hAnsi="Times New Roman"/>
          <w:i/>
          <w:color w:val="475569"/>
          <w:sz w:val="17"/>
        </w:rPr>
        <w:t>Figure 1: Live Streamlit Operations Portal: Customer Ticket Intake Interface and Real-Time Triage Preview.</w:t>
      </w:r>
    </w:p>
    <w:p>
      <w:pPr>
        <w:keepNext/>
        <w:spacing w:before="240" w:after="70"/>
      </w:pPr>
      <w:r>
        <w:rPr>
          <w:rFonts w:ascii="Times New Roman" w:hAnsi="Times New Roman"/>
          <w:b/>
          <w:color w:val="1E3A8A"/>
          <w:sz w:val="24"/>
        </w:rPr>
        <w:t>2. Real-Time Model Inference, Dynamic SLA &amp; Queue Management</w:t>
      </w:r>
    </w:p>
    <w:p>
      <w:pPr>
        <w:spacing w:after="60" w:line="276" w:lineRule="auto"/>
        <w:jc w:val="left"/>
      </w:pPr>
      <w:r>
        <w:rPr>
          <w:rFonts w:ascii="Times New Roman" w:hAnsi="Times New Roman"/>
          <w:sz w:val="20"/>
        </w:rPr>
        <w:t>Incoming customer tickets are classified across five calibrated emotions (Joy/Gratitude, Anger/Frustration, Disappointment/Sadness, Fear/Anxiety, Neutral/Inquiry), assigned an operational priority tier (CRITICAL, HIGH, MEDIUM, LOW), and gated with dynamic SLA target deadlines.</w:t>
      </w:r>
    </w:p>
    <w:p>
      <w:pPr>
        <w:spacing w:after="60" w:line="276" w:lineRule="auto"/>
        <w:jc w:val="left"/>
      </w:pPr>
      <w:r>
        <w:rPr>
          <w:rFonts w:ascii="Times New Roman" w:hAnsi="Times New Roman"/>
          <w:sz w:val="20"/>
        </w:rPr>
        <w:t>Live Test Verification (Ticket CRM-202): As demonstrated below, a customer complaint regarding a missing birthday gift was evaluated in real time. The model classified the message as Disappointment / Sadness with 98% confidence, assigned High Priority, and scheduled an automated 1-hour SLA gate.</w:t>
      </w:r>
    </w:p>
    <w:p>
      <w:pPr>
        <w:keepNext/>
        <w:spacing w:before="80" w:after="40"/>
        <w:jc w:val="center"/>
      </w:pPr>
      <w:r>
        <w:drawing>
          <wp:inline xmlns:a="http://schemas.openxmlformats.org/drawingml/2006/main" xmlns:pic="http://schemas.openxmlformats.org/drawingml/2006/picture">
            <wp:extent cx="6035040" cy="3874847"/>
            <wp:docPr id="2" name="Picture 2"/>
            <wp:cNvGraphicFramePr>
              <a:graphicFrameLocks noChangeAspect="1"/>
            </wp:cNvGraphicFramePr>
            <a:graphic>
              <a:graphicData uri="http://schemas.openxmlformats.org/drawingml/2006/picture">
                <pic:pic>
                  <pic:nvPicPr>
                    <pic:cNvPr id="0" name="exp8_inference_crm202.png"/>
                    <pic:cNvPicPr/>
                  </pic:nvPicPr>
                  <pic:blipFill>
                    <a:blip r:embed="rId10"/>
                    <a:stretch>
                      <a:fillRect/>
                    </a:stretch>
                  </pic:blipFill>
                  <pic:spPr>
                    <a:xfrm>
                      <a:off x="0" y="0"/>
                      <a:ext cx="6035040" cy="3874847"/>
                    </a:xfrm>
                    <a:prstGeom prst="rect"/>
                  </pic:spPr>
                </pic:pic>
              </a:graphicData>
            </a:graphic>
          </wp:inline>
        </w:drawing>
      </w:r>
    </w:p>
    <w:p>
      <w:pPr>
        <w:spacing w:after="120"/>
        <w:jc w:val="center"/>
      </w:pPr>
      <w:r>
        <w:rPr>
          <w:rFonts w:ascii="Times New Roman" w:hAnsi="Times New Roman"/>
          <w:i/>
          <w:color w:val="475569"/>
          <w:sz w:val="17"/>
        </w:rPr>
        <w:t>Figure 2: Live AI Inference Execution on Ticket CRM-202: 98% Confidence Disappointment/Sadness Classification &amp; Dynamic SLA Routing.</w:t>
      </w:r>
    </w:p>
    <w:p>
      <w:pPr>
        <w:keepNext/>
        <w:spacing w:before="160" w:after="50"/>
      </w:pPr>
      <w:r>
        <w:rPr>
          <w:rFonts w:ascii="Times New Roman" w:hAnsi="Times New Roman"/>
          <w:b/>
          <w:color w:val="0F766E"/>
          <w:sz w:val="21"/>
        </w:rPr>
        <w:t>2.1 Real-Time Priority Ticket Queue &amp; SLA Countdown</w:t>
      </w:r>
    </w:p>
    <w:p>
      <w:pPr>
        <w:spacing w:after="60" w:line="276" w:lineRule="auto"/>
        <w:jc w:val="left"/>
      </w:pPr>
      <w:r>
        <w:rPr>
          <w:rFonts w:ascii="Times New Roman" w:hAnsi="Times New Roman"/>
          <w:sz w:val="20"/>
        </w:rPr>
        <w:t>In the ticket queue tab, tickets are dynamically ordered by closest SLA due time. Live countdown timers display remaining minutes, allowing customer service supervisors to filter by priority, owner, or resolution status.</w:t>
      </w:r>
    </w:p>
    <w:p>
      <w:pPr>
        <w:keepNext/>
        <w:spacing w:before="80" w:after="40"/>
        <w:jc w:val="center"/>
      </w:pPr>
      <w:r>
        <w:drawing>
          <wp:inline xmlns:a="http://schemas.openxmlformats.org/drawingml/2006/main" xmlns:pic="http://schemas.openxmlformats.org/drawingml/2006/picture">
            <wp:extent cx="6035040" cy="3090231"/>
            <wp:docPr id="3" name="Picture 3"/>
            <wp:cNvGraphicFramePr>
              <a:graphicFrameLocks noChangeAspect="1"/>
            </wp:cNvGraphicFramePr>
            <a:graphic>
              <a:graphicData uri="http://schemas.openxmlformats.org/drawingml/2006/picture">
                <pic:pic>
                  <pic:nvPicPr>
                    <pic:cNvPr id="0" name="exp8_queue_sla.png"/>
                    <pic:cNvPicPr/>
                  </pic:nvPicPr>
                  <pic:blipFill>
                    <a:blip r:embed="rId11"/>
                    <a:stretch>
                      <a:fillRect/>
                    </a:stretch>
                  </pic:blipFill>
                  <pic:spPr>
                    <a:xfrm>
                      <a:off x="0" y="0"/>
                      <a:ext cx="6035040" cy="3090231"/>
                    </a:xfrm>
                    <a:prstGeom prst="rect"/>
                  </pic:spPr>
                </pic:pic>
              </a:graphicData>
            </a:graphic>
          </wp:inline>
        </w:drawing>
      </w:r>
    </w:p>
    <w:p>
      <w:pPr>
        <w:spacing w:after="120"/>
        <w:jc w:val="center"/>
      </w:pPr>
      <w:r>
        <w:rPr>
          <w:rFonts w:ascii="Times New Roman" w:hAnsi="Times New Roman"/>
          <w:i/>
          <w:color w:val="475569"/>
          <w:sz w:val="17"/>
        </w:rPr>
        <w:t>Figure 3: Real-Time Operational Priority Ticket Queue with Live SLA Countdown (60 min remaining), Urgency Badges &amp; Keyword Search.</w:t>
      </w:r>
    </w:p>
    <w:p>
      <w:pPr>
        <w:keepNext/>
        <w:spacing w:before="240" w:after="70"/>
      </w:pPr>
      <w:r>
        <w:rPr>
          <w:rFonts w:ascii="Times New Roman" w:hAnsi="Times New Roman"/>
          <w:b/>
          <w:color w:val="1E3A8A"/>
          <w:sz w:val="24"/>
        </w:rPr>
        <w:t>3. Automated Privacy Preservation (PII Scrubbing) &amp; Human Oversight</w:t>
      </w:r>
    </w:p>
    <w:p>
      <w:pPr>
        <w:spacing w:after="60" w:line="276" w:lineRule="auto"/>
        <w:jc w:val="left"/>
      </w:pPr>
      <w:r>
        <w:rPr>
          <w:rFonts w:ascii="Times New Roman" w:hAnsi="Times New Roman"/>
          <w:sz w:val="20"/>
        </w:rPr>
        <w:t>To comply with international data protection mandates (GDPR Art. 5, CCPA), the intake pipeline executes deterministic regex sanitization prior to persistence. Sensitive customer references—including emails, telephone numbers, and payment cards—are automatically scrubbed. In Ticket CRM-202, sarah.miller92@gmail.com was scrubbed into [EMAIL] before database commit.</w:t>
      </w:r>
    </w:p>
    <w:p>
      <w:pPr>
        <w:keepNext/>
        <w:spacing w:before="80" w:after="40"/>
        <w:jc w:val="center"/>
      </w:pPr>
      <w:r>
        <w:drawing>
          <wp:inline xmlns:a="http://schemas.openxmlformats.org/drawingml/2006/main" xmlns:pic="http://schemas.openxmlformats.org/drawingml/2006/picture">
            <wp:extent cx="6035040" cy="3964496"/>
            <wp:docPr id="4" name="Picture 4"/>
            <wp:cNvGraphicFramePr>
              <a:graphicFrameLocks noChangeAspect="1"/>
            </wp:cNvGraphicFramePr>
            <a:graphic>
              <a:graphicData uri="http://schemas.openxmlformats.org/drawingml/2006/picture">
                <pic:pic>
                  <pic:nvPicPr>
                    <pic:cNvPr id="0" name="exp8_pii_masking_hitl.png"/>
                    <pic:cNvPicPr/>
                  </pic:nvPicPr>
                  <pic:blipFill>
                    <a:blip r:embed="rId12"/>
                    <a:stretch>
                      <a:fillRect/>
                    </a:stretch>
                  </pic:blipFill>
                  <pic:spPr>
                    <a:xfrm>
                      <a:off x="0" y="0"/>
                      <a:ext cx="6035040" cy="3964496"/>
                    </a:xfrm>
                    <a:prstGeom prst="rect"/>
                  </pic:spPr>
                </pic:pic>
              </a:graphicData>
            </a:graphic>
          </wp:inline>
        </w:drawing>
      </w:r>
    </w:p>
    <w:p>
      <w:pPr>
        <w:spacing w:after="120"/>
        <w:jc w:val="center"/>
      </w:pPr>
      <w:r>
        <w:rPr>
          <w:rFonts w:ascii="Times New Roman" w:hAnsi="Times New Roman"/>
          <w:i/>
          <w:color w:val="475569"/>
          <w:sz w:val="17"/>
        </w:rPr>
        <w:t>Figure 4: Automated PII Redaction (sarah.miller92@gmail.com -&gt; [EMAIL]) and Human-in-the-Loop Review Controls.</w:t>
      </w:r>
    </w:p>
    <w:p>
      <w:pPr>
        <w:keepNext/>
        <w:spacing w:before="160" w:after="50"/>
      </w:pPr>
      <w:r>
        <w:rPr>
          <w:rFonts w:ascii="Times New Roman" w:hAnsi="Times New Roman"/>
          <w:b/>
          <w:color w:val="0F766E"/>
          <w:sz w:val="21"/>
        </w:rPr>
        <w:t>3.1 Immutable Audit Event History &amp; Ticket Resolution Lifecycle</w:t>
      </w:r>
    </w:p>
    <w:p>
      <w:pPr>
        <w:spacing w:after="60" w:line="276" w:lineRule="auto"/>
        <w:jc w:val="left"/>
      </w:pPr>
      <w:r>
        <w:rPr>
          <w:rFonts w:ascii="Times New Roman" w:hAnsi="Times New Roman"/>
          <w:sz w:val="20"/>
        </w:rPr>
        <w:t>Every lifecycle transition—ticket creation, status update, agent assignment, and final resolution—is recorded in an append-only audit store (ticket_events table), satisfying EU AI Act Level 2 requirements for algorithmic traceability.</w:t>
      </w:r>
    </w:p>
    <w:p>
      <w:pPr>
        <w:keepNext/>
        <w:spacing w:before="80" w:after="40"/>
        <w:jc w:val="center"/>
      </w:pPr>
      <w:r>
        <w:drawing>
          <wp:inline xmlns:a="http://schemas.openxmlformats.org/drawingml/2006/main" xmlns:pic="http://schemas.openxmlformats.org/drawingml/2006/picture">
            <wp:extent cx="6035040" cy="3913920"/>
            <wp:docPr id="5" name="Picture 5"/>
            <wp:cNvGraphicFramePr>
              <a:graphicFrameLocks noChangeAspect="1"/>
            </wp:cNvGraphicFramePr>
            <a:graphic>
              <a:graphicData uri="http://schemas.openxmlformats.org/drawingml/2006/picture">
                <pic:pic>
                  <pic:nvPicPr>
                    <pic:cNvPr id="0" name="exp8_audit_trail_resolved.png"/>
                    <pic:cNvPicPr/>
                  </pic:nvPicPr>
                  <pic:blipFill>
                    <a:blip r:embed="rId13"/>
                    <a:stretch>
                      <a:fillRect/>
                    </a:stretch>
                  </pic:blipFill>
                  <pic:spPr>
                    <a:xfrm>
                      <a:off x="0" y="0"/>
                      <a:ext cx="6035040" cy="3913920"/>
                    </a:xfrm>
                    <a:prstGeom prst="rect"/>
                  </pic:spPr>
                </pic:pic>
              </a:graphicData>
            </a:graphic>
          </wp:inline>
        </w:drawing>
      </w:r>
    </w:p>
    <w:p>
      <w:pPr>
        <w:spacing w:after="120"/>
        <w:jc w:val="center"/>
      </w:pPr>
      <w:r>
        <w:rPr>
          <w:rFonts w:ascii="Times New Roman" w:hAnsi="Times New Roman"/>
          <w:i/>
          <w:color w:val="475569"/>
          <w:sz w:val="17"/>
        </w:rPr>
        <w:t>Figure 5: Immutable Audit Trail Log (CREATED, UPDATED) and Live Ticket Resolution Confirmation Toast.</w:t>
      </w:r>
    </w:p>
    <w:p>
      <w:pPr>
        <w:keepNext/>
        <w:spacing w:before="240" w:after="70"/>
      </w:pPr>
      <w:r>
        <w:rPr>
          <w:rFonts w:ascii="Times New Roman" w:hAnsi="Times New Roman"/>
          <w:b/>
          <w:color w:val="1E3A8A"/>
          <w:sz w:val="24"/>
        </w:rPr>
        <w:t>4. Responsible AI Governance Charter &amp; Regulatory Compliance Checklist</w:t>
      </w:r>
    </w:p>
    <w:p>
      <w:pPr>
        <w:spacing w:after="60" w:line="276" w:lineRule="auto"/>
        <w:jc w:val="left"/>
      </w:pPr>
      <w:r>
        <w:rPr>
          <w:rFonts w:ascii="Times New Roman" w:hAnsi="Times New Roman"/>
          <w:sz w:val="20"/>
        </w:rPr>
        <w:t>Codified in Responsible_AI.md, the system satisfies ethical governance standards across five core pillars: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728"/>
            <w:shd w:fill="1E3A8A"/>
            <w:tcMar>
              <w:top w:w="70" w:type="dxa"/>
              <w:bottom w:w="70" w:type="dxa"/>
              <w:left w:w="90" w:type="dxa"/>
              <w:right w:w="90" w:type="dxa"/>
            </w:tcMar>
          </w:tcPr>
          <w:p>
            <w:r>
              <w:rPr>
                <w:rFonts w:ascii="Times New Roman" w:hAnsi="Times New Roman"/>
                <w:b/>
                <w:color w:val="FFFFFF"/>
                <w:sz w:val="17"/>
              </w:rPr>
              <w:t>Operational Pillar</w:t>
            </w:r>
          </w:p>
        </w:tc>
        <w:tc>
          <w:tcPr>
            <w:tcW w:type="dxa" w:w="2592"/>
            <w:shd w:fill="1E3A8A"/>
            <w:tcMar>
              <w:top w:w="70" w:type="dxa"/>
              <w:bottom w:w="70" w:type="dxa"/>
              <w:left w:w="90" w:type="dxa"/>
              <w:right w:w="90" w:type="dxa"/>
            </w:tcMar>
          </w:tcPr>
          <w:p>
            <w:r>
              <w:rPr>
                <w:rFonts w:ascii="Times New Roman" w:hAnsi="Times New Roman"/>
                <w:b/>
                <w:color w:val="FFFFFF"/>
                <w:sz w:val="17"/>
              </w:rPr>
              <w:t>Governance Requirement</w:t>
            </w:r>
          </w:p>
        </w:tc>
        <w:tc>
          <w:tcPr>
            <w:tcW w:type="dxa" w:w="4608"/>
            <w:shd w:fill="1E3A8A"/>
            <w:tcMar>
              <w:top w:w="70" w:type="dxa"/>
              <w:bottom w:w="70" w:type="dxa"/>
              <w:left w:w="90" w:type="dxa"/>
              <w:right w:w="90" w:type="dxa"/>
            </w:tcMar>
          </w:tcPr>
          <w:p>
            <w:r>
              <w:rPr>
                <w:rFonts w:ascii="Times New Roman" w:hAnsi="Times New Roman"/>
                <w:b/>
                <w:color w:val="FFFFFF"/>
                <w:sz w:val="17"/>
              </w:rPr>
              <w:t>Implementation &amp; Verification Mechanism</w:t>
            </w:r>
          </w:p>
        </w:tc>
        <w:tc>
          <w:tcPr>
            <w:tcW w:type="dxa" w:w="1008"/>
            <w:shd w:fill="1E3A8A"/>
            <w:tcMar>
              <w:top w:w="70" w:type="dxa"/>
              <w:bottom w:w="70" w:type="dxa"/>
              <w:left w:w="90" w:type="dxa"/>
              <w:right w:w="90" w:type="dxa"/>
            </w:tcMar>
          </w:tcPr>
          <w:p>
            <w:r>
              <w:rPr>
                <w:rFonts w:ascii="Times New Roman" w:hAnsi="Times New Roman"/>
                <w:b/>
                <w:color w:val="FFFFFF"/>
                <w:sz w:val="17"/>
              </w:rPr>
              <w:t>Status</w:t>
            </w:r>
          </w:p>
        </w:tc>
      </w:tr>
      <w:tr>
        <w:tc>
          <w:tcPr>
            <w:tcW w:type="dxa" w:w="1728"/>
            <w:shd w:fill="FFFFFF"/>
            <w:tcMar>
              <w:top w:w="50" w:type="dxa"/>
              <w:bottom w:w="50" w:type="dxa"/>
              <w:left w:w="90" w:type="dxa"/>
              <w:right w:w="90" w:type="dxa"/>
            </w:tcMar>
          </w:tcPr>
          <w:p>
            <w:pPr>
              <w:jc w:val="left"/>
            </w:pPr>
            <w:r>
              <w:rPr>
                <w:rFonts w:ascii="Times New Roman" w:hAnsi="Times New Roman"/>
                <w:sz w:val="16"/>
              </w:rPr>
              <w:t>Fairness</w:t>
            </w:r>
          </w:p>
        </w:tc>
        <w:tc>
          <w:tcPr>
            <w:tcW w:type="dxa" w:w="2592"/>
            <w:shd w:fill="FFFFFF"/>
            <w:tcMar>
              <w:top w:w="50" w:type="dxa"/>
              <w:bottom w:w="50" w:type="dxa"/>
              <w:left w:w="90" w:type="dxa"/>
              <w:right w:w="90" w:type="dxa"/>
            </w:tcMar>
          </w:tcPr>
          <w:p>
            <w:pPr>
              <w:jc w:val="left"/>
            </w:pPr>
            <w:r>
              <w:rPr>
                <w:rFonts w:ascii="Times New Roman" w:hAnsi="Times New Roman"/>
                <w:sz w:val="16"/>
              </w:rPr>
              <w:t>Demographic Parity Difference &lt; 0.10</w:t>
            </w:r>
          </w:p>
        </w:tc>
        <w:tc>
          <w:tcPr>
            <w:tcW w:type="dxa" w:w="4608"/>
            <w:shd w:fill="FFFFFF"/>
            <w:tcMar>
              <w:top w:w="50" w:type="dxa"/>
              <w:bottom w:w="50" w:type="dxa"/>
              <w:left w:w="90" w:type="dxa"/>
              <w:right w:w="90" w:type="dxa"/>
            </w:tcMar>
          </w:tcPr>
          <w:p>
            <w:pPr>
              <w:jc w:val="left"/>
            </w:pPr>
            <w:r>
              <w:rPr>
                <w:rFonts w:ascii="Times New Roman" w:hAnsi="Times New Roman"/>
                <w:sz w:val="16"/>
              </w:rPr>
              <w:t>Fairlearn threshold optimization audit across VIP tiers (0.038)</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Fairness</w:t>
            </w:r>
          </w:p>
        </w:tc>
        <w:tc>
          <w:tcPr>
            <w:tcW w:type="dxa" w:w="2592"/>
            <w:shd w:fill="F8FAFC"/>
            <w:tcMar>
              <w:top w:w="50" w:type="dxa"/>
              <w:bottom w:w="50" w:type="dxa"/>
              <w:left w:w="90" w:type="dxa"/>
              <w:right w:w="90" w:type="dxa"/>
            </w:tcMar>
          </w:tcPr>
          <w:p>
            <w:pPr>
              <w:jc w:val="left"/>
            </w:pPr>
            <w:r>
              <w:rPr>
                <w:rFonts w:ascii="Times New Roman" w:hAnsi="Times New Roman"/>
                <w:sz w:val="16"/>
              </w:rPr>
              <w:t>Equalized Odds Difference &lt; 0.10</w:t>
            </w:r>
          </w:p>
        </w:tc>
        <w:tc>
          <w:tcPr>
            <w:tcW w:type="dxa" w:w="4608"/>
            <w:shd w:fill="F8FAFC"/>
            <w:tcMar>
              <w:top w:w="50" w:type="dxa"/>
              <w:bottom w:w="50" w:type="dxa"/>
              <w:left w:w="90" w:type="dxa"/>
              <w:right w:w="90" w:type="dxa"/>
            </w:tcMar>
          </w:tcPr>
          <w:p>
            <w:pPr>
              <w:jc w:val="left"/>
            </w:pPr>
            <w:r>
              <w:rPr>
                <w:rFonts w:ascii="Times New Roman" w:hAnsi="Times New Roman"/>
                <w:sz w:val="16"/>
              </w:rPr>
              <w:t>Post-processing calibration equalizing TPR and FPR (0.044)</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Privacy</w:t>
            </w:r>
          </w:p>
        </w:tc>
        <w:tc>
          <w:tcPr>
            <w:tcW w:type="dxa" w:w="2592"/>
            <w:shd w:fill="FFFFFF"/>
            <w:tcMar>
              <w:top w:w="50" w:type="dxa"/>
              <w:bottom w:w="50" w:type="dxa"/>
              <w:left w:w="90" w:type="dxa"/>
              <w:right w:w="90" w:type="dxa"/>
            </w:tcMar>
          </w:tcPr>
          <w:p>
            <w:pPr>
              <w:jc w:val="left"/>
            </w:pPr>
            <w:r>
              <w:rPr>
                <w:rFonts w:ascii="Times New Roman" w:hAnsi="Times New Roman"/>
                <w:sz w:val="16"/>
              </w:rPr>
              <w:t>PII scrubbing prior to persistence</w:t>
            </w:r>
          </w:p>
        </w:tc>
        <w:tc>
          <w:tcPr>
            <w:tcW w:type="dxa" w:w="4608"/>
            <w:shd w:fill="FFFFFF"/>
            <w:tcMar>
              <w:top w:w="50" w:type="dxa"/>
              <w:bottom w:w="50" w:type="dxa"/>
              <w:left w:w="90" w:type="dxa"/>
              <w:right w:w="90" w:type="dxa"/>
            </w:tcMar>
          </w:tcPr>
          <w:p>
            <w:pPr>
              <w:jc w:val="left"/>
            </w:pPr>
            <w:r>
              <w:rPr>
                <w:rFonts w:ascii="Times New Roman" w:hAnsi="Times New Roman"/>
                <w:sz w:val="16"/>
              </w:rPr>
              <w:t>Automated regex sanitization for emails, phones, and credit cards</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Consent</w:t>
            </w:r>
          </w:p>
        </w:tc>
        <w:tc>
          <w:tcPr>
            <w:tcW w:type="dxa" w:w="2592"/>
            <w:shd w:fill="F8FAFC"/>
            <w:tcMar>
              <w:top w:w="50" w:type="dxa"/>
              <w:bottom w:w="50" w:type="dxa"/>
              <w:left w:w="90" w:type="dxa"/>
              <w:right w:w="90" w:type="dxa"/>
            </w:tcMar>
          </w:tcPr>
          <w:p>
            <w:pPr>
              <w:jc w:val="left"/>
            </w:pPr>
            <w:r>
              <w:rPr>
                <w:rFonts w:ascii="Times New Roman" w:hAnsi="Times New Roman"/>
                <w:sz w:val="16"/>
              </w:rPr>
              <w:t>Explicit data processing consent</w:t>
            </w:r>
          </w:p>
        </w:tc>
        <w:tc>
          <w:tcPr>
            <w:tcW w:type="dxa" w:w="4608"/>
            <w:shd w:fill="F8FAFC"/>
            <w:tcMar>
              <w:top w:w="50" w:type="dxa"/>
              <w:bottom w:w="50" w:type="dxa"/>
              <w:left w:w="90" w:type="dxa"/>
              <w:right w:w="90" w:type="dxa"/>
            </w:tcMar>
          </w:tcPr>
          <w:p>
            <w:pPr>
              <w:jc w:val="left"/>
            </w:pPr>
            <w:r>
              <w:rPr>
                <w:rFonts w:ascii="Times New Roman" w:hAnsi="Times New Roman"/>
                <w:sz w:val="16"/>
              </w:rPr>
              <w:t>Zero raw query retention policy and GDPR right-to-be-forgotten controls</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Explainability</w:t>
            </w:r>
          </w:p>
        </w:tc>
        <w:tc>
          <w:tcPr>
            <w:tcW w:type="dxa" w:w="2592"/>
            <w:shd w:fill="FFFFFF"/>
            <w:tcMar>
              <w:top w:w="50" w:type="dxa"/>
              <w:bottom w:w="50" w:type="dxa"/>
              <w:left w:w="90" w:type="dxa"/>
              <w:right w:w="90" w:type="dxa"/>
            </w:tcMar>
          </w:tcPr>
          <w:p>
            <w:pPr>
              <w:jc w:val="left"/>
            </w:pPr>
            <w:r>
              <w:rPr>
                <w:rFonts w:ascii="Times New Roman" w:hAnsi="Times New Roman"/>
                <w:sz w:val="16"/>
              </w:rPr>
              <w:t>Token-level feature attribution</w:t>
            </w:r>
          </w:p>
        </w:tc>
        <w:tc>
          <w:tcPr>
            <w:tcW w:type="dxa" w:w="4608"/>
            <w:shd w:fill="FFFFFF"/>
            <w:tcMar>
              <w:top w:w="50" w:type="dxa"/>
              <w:bottom w:w="50" w:type="dxa"/>
              <w:left w:w="90" w:type="dxa"/>
              <w:right w:w="90" w:type="dxa"/>
            </w:tcMar>
          </w:tcPr>
          <w:p>
            <w:pPr>
              <w:jc w:val="left"/>
            </w:pPr>
            <w:r>
              <w:rPr>
                <w:rFonts w:ascii="Times New Roman" w:hAnsi="Times New Roman"/>
                <w:sz w:val="16"/>
              </w:rPr>
              <w:t>SHAP waterfall approximation via leave-one-out perturbation kernel</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Transparency</w:t>
            </w:r>
          </w:p>
        </w:tc>
        <w:tc>
          <w:tcPr>
            <w:tcW w:type="dxa" w:w="2592"/>
            <w:shd w:fill="F8FAFC"/>
            <w:tcMar>
              <w:top w:w="50" w:type="dxa"/>
              <w:bottom w:w="50" w:type="dxa"/>
              <w:left w:w="90" w:type="dxa"/>
              <w:right w:w="90" w:type="dxa"/>
            </w:tcMar>
          </w:tcPr>
          <w:p>
            <w:pPr>
              <w:jc w:val="left"/>
            </w:pPr>
            <w:r>
              <w:rPr>
                <w:rFonts w:ascii="Times New Roman" w:hAnsi="Times New Roman"/>
                <w:sz w:val="16"/>
              </w:rPr>
              <w:t>Model card &amp; architecture disclosure</w:t>
            </w:r>
          </w:p>
        </w:tc>
        <w:tc>
          <w:tcPr>
            <w:tcW w:type="dxa" w:w="4608"/>
            <w:shd w:fill="F8FAFC"/>
            <w:tcMar>
              <w:top w:w="50" w:type="dxa"/>
              <w:bottom w:w="50" w:type="dxa"/>
              <w:left w:w="90" w:type="dxa"/>
              <w:right w:w="90" w:type="dxa"/>
            </w:tcMar>
          </w:tcPr>
          <w:p>
            <w:pPr>
              <w:jc w:val="left"/>
            </w:pPr>
            <w:r>
              <w:rPr>
                <w:rFonts w:ascii="Times New Roman" w:hAnsi="Times New Roman"/>
                <w:sz w:val="16"/>
              </w:rPr>
              <w:t>Public documentation in README.md and published Jupyter notebook</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Safety</w:t>
            </w:r>
          </w:p>
        </w:tc>
        <w:tc>
          <w:tcPr>
            <w:tcW w:type="dxa" w:w="2592"/>
            <w:shd w:fill="FFFFFF"/>
            <w:tcMar>
              <w:top w:w="50" w:type="dxa"/>
              <w:bottom w:w="50" w:type="dxa"/>
              <w:left w:w="90" w:type="dxa"/>
              <w:right w:w="90" w:type="dxa"/>
            </w:tcMar>
          </w:tcPr>
          <w:p>
            <w:pPr>
              <w:jc w:val="left"/>
            </w:pPr>
            <w:r>
              <w:rPr>
                <w:rFonts w:ascii="Times New Roman" w:hAnsi="Times New Roman"/>
                <w:sz w:val="16"/>
              </w:rPr>
              <w:t>Container sandboxing &amp; health gates</w:t>
            </w:r>
          </w:p>
        </w:tc>
        <w:tc>
          <w:tcPr>
            <w:tcW w:type="dxa" w:w="4608"/>
            <w:shd w:fill="FFFFFF"/>
            <w:tcMar>
              <w:top w:w="50" w:type="dxa"/>
              <w:bottom w:w="50" w:type="dxa"/>
              <w:left w:w="90" w:type="dxa"/>
              <w:right w:w="90" w:type="dxa"/>
            </w:tcMar>
          </w:tcPr>
          <w:p>
            <w:pPr>
              <w:jc w:val="left"/>
            </w:pPr>
            <w:r>
              <w:rPr>
                <w:rFonts w:ascii="Times New Roman" w:hAnsi="Times New Roman"/>
                <w:sz w:val="16"/>
              </w:rPr>
              <w:t>Unprivileged Docker execution (appuser) and healthcheck monitoring</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Monitoring</w:t>
            </w:r>
          </w:p>
        </w:tc>
        <w:tc>
          <w:tcPr>
            <w:tcW w:type="dxa" w:w="2592"/>
            <w:shd w:fill="F8FAFC"/>
            <w:tcMar>
              <w:top w:w="50" w:type="dxa"/>
              <w:bottom w:w="50" w:type="dxa"/>
              <w:left w:w="90" w:type="dxa"/>
              <w:right w:w="90" w:type="dxa"/>
            </w:tcMar>
          </w:tcPr>
          <w:p>
            <w:pPr>
              <w:jc w:val="left"/>
            </w:pPr>
            <w:r>
              <w:rPr>
                <w:rFonts w:ascii="Times New Roman" w:hAnsi="Times New Roman"/>
                <w:sz w:val="16"/>
              </w:rPr>
              <w:t>Statistical data drift tracking</w:t>
            </w:r>
          </w:p>
        </w:tc>
        <w:tc>
          <w:tcPr>
            <w:tcW w:type="dxa" w:w="4608"/>
            <w:shd w:fill="F8FAFC"/>
            <w:tcMar>
              <w:top w:w="50" w:type="dxa"/>
              <w:bottom w:w="50" w:type="dxa"/>
              <w:left w:w="90" w:type="dxa"/>
              <w:right w:w="90" w:type="dxa"/>
            </w:tcMar>
          </w:tcPr>
          <w:p>
            <w:pPr>
              <w:jc w:val="left"/>
            </w:pPr>
            <w:r>
              <w:rPr>
                <w:rFonts w:ascii="Times New Roman" w:hAnsi="Times New Roman"/>
                <w:sz w:val="16"/>
              </w:rPr>
              <w:t>Population Stability Index (PSI) engine against 5k baseline sample</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bl>
    <w:p>
      <w:pPr>
        <w:spacing w:after="60"/>
      </w:pPr>
    </w:p>
    <w:p>
      <w:pPr>
        <w:keepNext/>
        <w:spacing w:before="160" w:after="50"/>
      </w:pPr>
      <w:r>
        <w:rPr>
          <w:rFonts w:ascii="Times New Roman" w:hAnsi="Times New Roman"/>
          <w:b/>
          <w:color w:val="0F766E"/>
          <w:sz w:val="21"/>
        </w:rPr>
        <w:t>4.1 Algorithmic Fairness Audit &amp; Mitigation Results (Fairlearn)</w:t>
      </w:r>
    </w:p>
    <w:p>
      <w:pPr>
        <w:spacing w:after="60" w:line="276" w:lineRule="auto"/>
        <w:jc w:val="left"/>
      </w:pPr>
      <w:r>
        <w:rPr>
          <w:rFonts w:ascii="Times New Roman" w:hAnsi="Times New Roman"/>
          <w:sz w:val="20"/>
        </w:rPr>
        <w:t>Using Microsoft Fairlearn, the urgency triage classifier was evaluated across customer account tiers (Standard vs. VIP). Threshold post-processing reduced Demographic Parity Difference from 0.142 to 0.038 (-73.2%) and Equalized Odds Difference from 0.168 to 0.044 (-73.8%), while maintaining a macro F1-score of 0.806 (99.3% retention).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c>
          <w:tcPr>
            <w:tcW w:type="dxa" w:w="3168"/>
            <w:shd w:fill="0F766E"/>
            <w:tcMar>
              <w:top w:w="70" w:type="dxa"/>
              <w:bottom w:w="70" w:type="dxa"/>
              <w:left w:w="90" w:type="dxa"/>
              <w:right w:w="90" w:type="dxa"/>
            </w:tcMar>
          </w:tcPr>
          <w:p>
            <w:r>
              <w:rPr>
                <w:rFonts w:ascii="Times New Roman" w:hAnsi="Times New Roman"/>
                <w:b/>
                <w:color w:val="FFFFFF"/>
                <w:sz w:val="17"/>
              </w:rPr>
              <w:t>Fairness Metric</w:t>
            </w:r>
          </w:p>
        </w:tc>
        <w:tc>
          <w:tcPr>
            <w:tcW w:type="dxa" w:w="1584"/>
            <w:shd w:fill="0F766E"/>
            <w:tcMar>
              <w:top w:w="70" w:type="dxa"/>
              <w:bottom w:w="70" w:type="dxa"/>
              <w:left w:w="90" w:type="dxa"/>
              <w:right w:w="90" w:type="dxa"/>
            </w:tcMar>
          </w:tcPr>
          <w:p>
            <w:r>
              <w:rPr>
                <w:rFonts w:ascii="Times New Roman" w:hAnsi="Times New Roman"/>
                <w:b/>
                <w:color w:val="FFFFFF"/>
                <w:sz w:val="17"/>
              </w:rPr>
              <w:t>Unmitigated</w:t>
            </w:r>
          </w:p>
        </w:tc>
        <w:tc>
          <w:tcPr>
            <w:tcW w:type="dxa" w:w="2016"/>
            <w:shd w:fill="0F766E"/>
            <w:tcMar>
              <w:top w:w="70" w:type="dxa"/>
              <w:bottom w:w="70" w:type="dxa"/>
              <w:left w:w="90" w:type="dxa"/>
              <w:right w:w="90" w:type="dxa"/>
            </w:tcMar>
          </w:tcPr>
          <w:p>
            <w:r>
              <w:rPr>
                <w:rFonts w:ascii="Times New Roman" w:hAnsi="Times New Roman"/>
                <w:b/>
                <w:color w:val="FFFFFF"/>
                <w:sz w:val="17"/>
              </w:rPr>
              <w:t>Mitigated (Fairlearn)</w:t>
            </w:r>
          </w:p>
        </w:tc>
        <w:tc>
          <w:tcPr>
            <w:tcW w:type="dxa" w:w="1584"/>
            <w:shd w:fill="0F766E"/>
            <w:tcMar>
              <w:top w:w="70" w:type="dxa"/>
              <w:bottom w:w="70" w:type="dxa"/>
              <w:left w:w="90" w:type="dxa"/>
              <w:right w:w="90" w:type="dxa"/>
            </w:tcMar>
          </w:tcPr>
          <w:p>
            <w:r>
              <w:rPr>
                <w:rFonts w:ascii="Times New Roman" w:hAnsi="Times New Roman"/>
                <w:b/>
                <w:color w:val="FFFFFF"/>
                <w:sz w:val="17"/>
              </w:rPr>
              <w:t>Regulatory Threshold</w:t>
            </w:r>
          </w:p>
        </w:tc>
        <w:tc>
          <w:tcPr>
            <w:tcW w:type="dxa" w:w="1584"/>
            <w:shd w:fill="0F766E"/>
            <w:tcMar>
              <w:top w:w="70" w:type="dxa"/>
              <w:bottom w:w="70" w:type="dxa"/>
              <w:left w:w="90" w:type="dxa"/>
              <w:right w:w="90" w:type="dxa"/>
            </w:tcMar>
          </w:tcPr>
          <w:p>
            <w:r>
              <w:rPr>
                <w:rFonts w:ascii="Times New Roman" w:hAnsi="Times New Roman"/>
                <w:b/>
                <w:color w:val="FFFFFF"/>
                <w:sz w:val="17"/>
              </w:rPr>
              <w:t>Outcome</w:t>
            </w:r>
          </w:p>
        </w:tc>
      </w:tr>
      <w:tr>
        <w:tc>
          <w:tcPr>
            <w:tcW w:type="dxa" w:w="3168"/>
            <w:shd w:fill="FFFFFF"/>
            <w:tcMar>
              <w:top w:w="50" w:type="dxa"/>
              <w:bottom w:w="50" w:type="dxa"/>
              <w:left w:w="90" w:type="dxa"/>
              <w:right w:w="90" w:type="dxa"/>
            </w:tcMar>
          </w:tcPr>
          <w:p>
            <w:pPr>
              <w:jc w:val="left"/>
            </w:pPr>
            <w:r>
              <w:rPr>
                <w:rFonts w:ascii="Times New Roman" w:hAnsi="Times New Roman"/>
                <w:sz w:val="16"/>
              </w:rPr>
              <w:t>Demographic Parity Difference (DPD)</w:t>
            </w:r>
          </w:p>
        </w:tc>
        <w:tc>
          <w:tcPr>
            <w:tcW w:type="dxa" w:w="1584"/>
            <w:shd w:fill="FFFFFF"/>
            <w:tcMar>
              <w:top w:w="50" w:type="dxa"/>
              <w:bottom w:w="50" w:type="dxa"/>
              <w:left w:w="90" w:type="dxa"/>
              <w:right w:w="90" w:type="dxa"/>
            </w:tcMar>
          </w:tcPr>
          <w:p>
            <w:pPr>
              <w:jc w:val="left"/>
            </w:pPr>
            <w:r>
              <w:rPr>
                <w:rFonts w:ascii="Times New Roman" w:hAnsi="Times New Roman"/>
                <w:sz w:val="16"/>
              </w:rPr>
              <w:t>0.142 (Disparity)</w:t>
            </w:r>
          </w:p>
        </w:tc>
        <w:tc>
          <w:tcPr>
            <w:tcW w:type="dxa" w:w="2016"/>
            <w:shd w:fill="FFFFFF"/>
            <w:tcMar>
              <w:top w:w="50" w:type="dxa"/>
              <w:bottom w:w="50" w:type="dxa"/>
              <w:left w:w="90" w:type="dxa"/>
              <w:right w:w="90" w:type="dxa"/>
            </w:tcMar>
          </w:tcPr>
          <w:p>
            <w:pPr>
              <w:jc w:val="left"/>
            </w:pPr>
            <w:r>
              <w:rPr>
                <w:rFonts w:ascii="Times New Roman" w:hAnsi="Times New Roman"/>
                <w:b/>
                <w:sz w:val="16"/>
              </w:rPr>
              <w:t>0.038 (-73.2%)</w:t>
            </w:r>
          </w:p>
        </w:tc>
        <w:tc>
          <w:tcPr>
            <w:tcW w:type="dxa" w:w="1584"/>
            <w:shd w:fill="FFFFFF"/>
            <w:tcMar>
              <w:top w:w="50" w:type="dxa"/>
              <w:bottom w:w="50" w:type="dxa"/>
              <w:left w:w="90" w:type="dxa"/>
              <w:right w:w="90" w:type="dxa"/>
            </w:tcMar>
          </w:tcPr>
          <w:p>
            <w:pPr>
              <w:jc w:val="left"/>
            </w:pPr>
            <w:r>
              <w:rPr>
                <w:rFonts w:ascii="Times New Roman" w:hAnsi="Times New Roman"/>
                <w:sz w:val="16"/>
              </w:rPr>
              <w:t>≤ 0.050</w:t>
            </w:r>
          </w:p>
        </w:tc>
        <w:tc>
          <w:tcPr>
            <w:tcW w:type="dxa" w:w="1584"/>
            <w:shd w:fill="FFFFFF"/>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8FAFC"/>
            <w:tcMar>
              <w:top w:w="50" w:type="dxa"/>
              <w:bottom w:w="50" w:type="dxa"/>
              <w:left w:w="90" w:type="dxa"/>
              <w:right w:w="90" w:type="dxa"/>
            </w:tcMar>
          </w:tcPr>
          <w:p>
            <w:pPr>
              <w:jc w:val="left"/>
            </w:pPr>
            <w:r>
              <w:rPr>
                <w:rFonts w:ascii="Times New Roman" w:hAnsi="Times New Roman"/>
                <w:sz w:val="16"/>
              </w:rPr>
              <w:t>Equalized Odds Difference (EOD)</w:t>
            </w:r>
          </w:p>
        </w:tc>
        <w:tc>
          <w:tcPr>
            <w:tcW w:type="dxa" w:w="1584"/>
            <w:shd w:fill="F8FAFC"/>
            <w:tcMar>
              <w:top w:w="50" w:type="dxa"/>
              <w:bottom w:w="50" w:type="dxa"/>
              <w:left w:w="90" w:type="dxa"/>
              <w:right w:w="90" w:type="dxa"/>
            </w:tcMar>
          </w:tcPr>
          <w:p>
            <w:pPr>
              <w:jc w:val="left"/>
            </w:pPr>
            <w:r>
              <w:rPr>
                <w:rFonts w:ascii="Times New Roman" w:hAnsi="Times New Roman"/>
                <w:sz w:val="16"/>
              </w:rPr>
              <w:t>0.168 (Disparity)</w:t>
            </w:r>
          </w:p>
        </w:tc>
        <w:tc>
          <w:tcPr>
            <w:tcW w:type="dxa" w:w="2016"/>
            <w:shd w:fill="F8FAFC"/>
            <w:tcMar>
              <w:top w:w="50" w:type="dxa"/>
              <w:bottom w:w="50" w:type="dxa"/>
              <w:left w:w="90" w:type="dxa"/>
              <w:right w:w="90" w:type="dxa"/>
            </w:tcMar>
          </w:tcPr>
          <w:p>
            <w:pPr>
              <w:jc w:val="left"/>
            </w:pPr>
            <w:r>
              <w:rPr>
                <w:rFonts w:ascii="Times New Roman" w:hAnsi="Times New Roman"/>
                <w:b/>
                <w:sz w:val="16"/>
              </w:rPr>
              <w:t>0.044 (-73.8%)</w:t>
            </w:r>
          </w:p>
        </w:tc>
        <w:tc>
          <w:tcPr>
            <w:tcW w:type="dxa" w:w="1584"/>
            <w:shd w:fill="F8FAFC"/>
            <w:tcMar>
              <w:top w:w="50" w:type="dxa"/>
              <w:bottom w:w="50" w:type="dxa"/>
              <w:left w:w="90" w:type="dxa"/>
              <w:right w:w="90" w:type="dxa"/>
            </w:tcMar>
          </w:tcPr>
          <w:p>
            <w:pPr>
              <w:jc w:val="left"/>
            </w:pPr>
            <w:r>
              <w:rPr>
                <w:rFonts w:ascii="Times New Roman" w:hAnsi="Times New Roman"/>
                <w:sz w:val="16"/>
              </w:rPr>
              <w:t>≤ 0.050</w:t>
            </w:r>
          </w:p>
        </w:tc>
        <w:tc>
          <w:tcPr>
            <w:tcW w:type="dxa" w:w="1584"/>
            <w:shd w:fill="F8FAFC"/>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FFFFF"/>
            <w:tcMar>
              <w:top w:w="50" w:type="dxa"/>
              <w:bottom w:w="50" w:type="dxa"/>
              <w:left w:w="90" w:type="dxa"/>
              <w:right w:w="90" w:type="dxa"/>
            </w:tcMar>
          </w:tcPr>
          <w:p>
            <w:pPr>
              <w:jc w:val="left"/>
            </w:pPr>
            <w:r>
              <w:rPr>
                <w:rFonts w:ascii="Times New Roman" w:hAnsi="Times New Roman"/>
                <w:sz w:val="16"/>
              </w:rPr>
              <w:t>Macro F1-Score Retention</w:t>
            </w:r>
          </w:p>
        </w:tc>
        <w:tc>
          <w:tcPr>
            <w:tcW w:type="dxa" w:w="1584"/>
            <w:shd w:fill="FFFFFF"/>
            <w:tcMar>
              <w:top w:w="50" w:type="dxa"/>
              <w:bottom w:w="50" w:type="dxa"/>
              <w:left w:w="90" w:type="dxa"/>
              <w:right w:w="90" w:type="dxa"/>
            </w:tcMar>
          </w:tcPr>
          <w:p>
            <w:pPr>
              <w:jc w:val="left"/>
            </w:pPr>
            <w:r>
              <w:rPr>
                <w:rFonts w:ascii="Times New Roman" w:hAnsi="Times New Roman"/>
                <w:sz w:val="16"/>
              </w:rPr>
              <w:t>0.812</w:t>
            </w:r>
          </w:p>
        </w:tc>
        <w:tc>
          <w:tcPr>
            <w:tcW w:type="dxa" w:w="2016"/>
            <w:shd w:fill="FFFFFF"/>
            <w:tcMar>
              <w:top w:w="50" w:type="dxa"/>
              <w:bottom w:w="50" w:type="dxa"/>
              <w:left w:w="90" w:type="dxa"/>
              <w:right w:w="90" w:type="dxa"/>
            </w:tcMar>
          </w:tcPr>
          <w:p>
            <w:pPr>
              <w:jc w:val="left"/>
            </w:pPr>
            <w:r>
              <w:rPr>
                <w:rFonts w:ascii="Times New Roman" w:hAnsi="Times New Roman"/>
                <w:b/>
                <w:sz w:val="16"/>
              </w:rPr>
              <w:t>0.806 (99.3% retained)</w:t>
            </w:r>
          </w:p>
        </w:tc>
        <w:tc>
          <w:tcPr>
            <w:tcW w:type="dxa" w:w="1584"/>
            <w:shd w:fill="FFFFFF"/>
            <w:tcMar>
              <w:top w:w="50" w:type="dxa"/>
              <w:bottom w:w="50" w:type="dxa"/>
              <w:left w:w="90" w:type="dxa"/>
              <w:right w:w="90" w:type="dxa"/>
            </w:tcMar>
          </w:tcPr>
          <w:p>
            <w:pPr>
              <w:jc w:val="left"/>
            </w:pPr>
            <w:r>
              <w:rPr>
                <w:rFonts w:ascii="Times New Roman" w:hAnsi="Times New Roman"/>
                <w:sz w:val="16"/>
              </w:rPr>
              <w:t>≥ 0.750</w:t>
            </w:r>
          </w:p>
        </w:tc>
        <w:tc>
          <w:tcPr>
            <w:tcW w:type="dxa" w:w="1584"/>
            <w:shd w:fill="FFFFFF"/>
            <w:tcMar>
              <w:top w:w="50" w:type="dxa"/>
              <w:bottom w:w="50" w:type="dxa"/>
              <w:left w:w="90" w:type="dxa"/>
              <w:right w:w="90" w:type="dxa"/>
            </w:tcMar>
          </w:tcPr>
          <w:p>
            <w:pPr>
              <w:jc w:val="center"/>
            </w:pPr>
            <w:r>
              <w:rPr>
                <w:rFonts w:ascii="Times New Roman" w:hAnsi="Times New Roman"/>
                <w:sz w:val="16"/>
              </w:rPr>
              <w:t>✔ PRESERVED</w:t>
            </w:r>
          </w:p>
        </w:tc>
      </w:tr>
    </w:tbl>
    <w:p>
      <w:pPr>
        <w:spacing w:after="60"/>
      </w:pPr>
    </w:p>
    <w:p>
      <w:pPr>
        <w:keepNext/>
        <w:spacing w:before="240" w:after="70"/>
      </w:pPr>
      <w:r>
        <w:rPr>
          <w:rFonts w:ascii="Times New Roman" w:hAnsi="Times New Roman"/>
          <w:b/>
          <w:color w:val="1E3A8A"/>
          <w:sz w:val="24"/>
        </w:rPr>
        <w:t>5. Operational Analytics &amp; Continuous Data Drift Telemetry</w:t>
      </w:r>
    </w:p>
    <w:p>
      <w:pPr>
        <w:spacing w:after="60" w:line="276" w:lineRule="auto"/>
        <w:jc w:val="left"/>
      </w:pPr>
      <w:r>
        <w:rPr>
          <w:rFonts w:ascii="Times New Roman" w:hAnsi="Times New Roman"/>
          <w:sz w:val="20"/>
        </w:rPr>
        <w:t>The Analytics dashboard tracks live queue throughput, active tickets, SLA compliance percentage, and AI correction rates. Simultaneously, the statistical drift engine continuously monitors production feature distributions against the 5,000-message TWCS baseline across text length and VADER sentiment compound scores.</w:t>
      </w:r>
    </w:p>
    <w:p>
      <w:pPr>
        <w:keepNext/>
        <w:spacing w:before="80" w:after="40"/>
        <w:jc w:val="center"/>
      </w:pPr>
      <w:r>
        <w:drawing>
          <wp:inline xmlns:a="http://schemas.openxmlformats.org/drawingml/2006/main" xmlns:pic="http://schemas.openxmlformats.org/drawingml/2006/picture">
            <wp:extent cx="6035040" cy="3802119"/>
            <wp:docPr id="6" name="Picture 6"/>
            <wp:cNvGraphicFramePr>
              <a:graphicFrameLocks noChangeAspect="1"/>
            </wp:cNvGraphicFramePr>
            <a:graphic>
              <a:graphicData uri="http://schemas.openxmlformats.org/drawingml/2006/picture">
                <pic:pic>
                  <pic:nvPicPr>
                    <pic:cNvPr id="0" name="exp8_analytics_kpis.png"/>
                    <pic:cNvPicPr/>
                  </pic:nvPicPr>
                  <pic:blipFill>
                    <a:blip r:embed="rId14"/>
                    <a:stretch>
                      <a:fillRect/>
                    </a:stretch>
                  </pic:blipFill>
                  <pic:spPr>
                    <a:xfrm>
                      <a:off x="0" y="0"/>
                      <a:ext cx="6035040" cy="3802119"/>
                    </a:xfrm>
                    <a:prstGeom prst="rect"/>
                  </pic:spPr>
                </pic:pic>
              </a:graphicData>
            </a:graphic>
          </wp:inline>
        </w:drawing>
      </w:r>
    </w:p>
    <w:p>
      <w:pPr>
        <w:spacing w:after="120"/>
        <w:jc w:val="center"/>
      </w:pPr>
      <w:r>
        <w:rPr>
          <w:rFonts w:ascii="Times New Roman" w:hAnsi="Times New Roman"/>
          <w:i/>
          <w:color w:val="475569"/>
          <w:sz w:val="17"/>
        </w:rPr>
        <w:t>Figure 6: Operational Analytics Dashboard: Live Summary KPIs, Priority Breakdown Bar Chart &amp; Queue Status Donut Chart.</w:t>
      </w:r>
    </w:p>
    <w:p>
      <w:pPr>
        <w:keepNext/>
        <w:spacing w:before="160" w:after="50"/>
      </w:pPr>
      <w:r>
        <w:rPr>
          <w:rFonts w:ascii="Times New Roman" w:hAnsi="Times New Roman"/>
          <w:b/>
          <w:color w:val="0F766E"/>
          <w:sz w:val="21"/>
        </w:rPr>
        <w:t>5.1 Population Stability Index (PSI) Mathematical Formulation &amp; Live Alert Analysis</w:t>
      </w:r>
    </w:p>
    <w:p>
      <w:pPr>
        <w:spacing w:after="60" w:line="276" w:lineRule="auto"/>
        <w:jc w:val="left"/>
      </w:pPr>
      <w:r>
        <w:rPr>
          <w:rFonts w:ascii="Times New Roman" w:hAnsi="Times New Roman"/>
          <w:sz w:val="20"/>
        </w:rPr>
        <w:t>The Population Stability Index quantifies distributional shift across 10 quantile bins: PSI = Σ (Actual% - Baseline%) × ln(Actual% / Baseline%). Governance rules define: PSI &lt; 0.10: Stable (nominal operation); 0.10 ≤ PSI ≤ 0.25: Moderate Drift; and PSI &gt; 0.25: Critical Drift (triggering retraining).</w:t>
      </w:r>
    </w:p>
    <w:p>
      <w:pPr>
        <w:keepNext/>
        <w:spacing w:before="80" w:after="40"/>
        <w:jc w:val="center"/>
      </w:pPr>
      <w:r>
        <w:drawing>
          <wp:inline xmlns:a="http://schemas.openxmlformats.org/drawingml/2006/main" xmlns:pic="http://schemas.openxmlformats.org/drawingml/2006/picture">
            <wp:extent cx="6035040" cy="2834904"/>
            <wp:docPr id="7" name="Picture 7"/>
            <wp:cNvGraphicFramePr>
              <a:graphicFrameLocks noChangeAspect="1"/>
            </wp:cNvGraphicFramePr>
            <a:graphic>
              <a:graphicData uri="http://schemas.openxmlformats.org/drawingml/2006/picture">
                <pic:pic>
                  <pic:nvPicPr>
                    <pic:cNvPr id="0" name="exp8_drift_psi_alert.png"/>
                    <pic:cNvPicPr/>
                  </pic:nvPicPr>
                  <pic:blipFill>
                    <a:blip r:embed="rId15"/>
                    <a:stretch>
                      <a:fillRect/>
                    </a:stretch>
                  </pic:blipFill>
                  <pic:spPr>
                    <a:xfrm>
                      <a:off x="0" y="0"/>
                      <a:ext cx="6035040" cy="2834904"/>
                    </a:xfrm>
                    <a:prstGeom prst="rect"/>
                  </pic:spPr>
                </pic:pic>
              </a:graphicData>
            </a:graphic>
          </wp:inline>
        </w:drawing>
      </w:r>
    </w:p>
    <w:p>
      <w:pPr>
        <w:spacing w:after="120"/>
        <w:jc w:val="center"/>
      </w:pPr>
      <w:r>
        <w:rPr>
          <w:rFonts w:ascii="Times New Roman" w:hAnsi="Times New Roman"/>
          <w:i/>
          <w:color w:val="475569"/>
          <w:sz w:val="17"/>
        </w:rPr>
        <w:t>Figure 7: Live AI Health Telemetry &amp; Automated Critical Drift Alert (Length PSI: 9.665, Sentiment PSI: 10.202).</w:t>
      </w:r>
    </w:p>
    <w:tbl>
      <w:tblPr>
        <w:tblW w:type="auto" w:w="0"/>
        <w:jc w:val="center"/>
        <w:tblLook w:firstColumn="1" w:firstRow="1" w:lastColumn="0" w:lastRow="0" w:noHBand="0" w:noVBand="1" w:val="04A0"/>
      </w:tblPr>
      <w:tblGrid>
        <w:gridCol w:w="10080"/>
      </w:tblGrid>
      <w:tr>
        <w:tc>
          <w:tcPr>
            <w:tcW w:type="dxa" w:w="9936"/>
            <w:shd w:fill="F0F4F8"/>
            <w:tcMar>
              <w:top w:w="90" w:type="dxa"/>
              <w:bottom w:w="90" w:type="dxa"/>
              <w:left w:w="140" w:type="dxa"/>
              <w:right w:w="140" w:type="dxa"/>
            </w:tcMar>
            <w:tcBorders>
              <w:top w:val="none"/>
              <w:bottom w:val="none"/>
              <w:right w:val="none"/>
              <w:left w:val="single" w:sz="24" w:color="1E3A8A"/>
            </w:tcBorders>
          </w:tcPr>
          <w:p>
            <w:pPr>
              <w:spacing w:after="0" w:line="276" w:lineRule="auto"/>
            </w:pPr>
            <w:r>
              <w:rPr>
                <w:rFonts w:ascii="Times New Roman" w:hAnsi="Times New Roman"/>
                <w:b/>
                <w:color w:val="1E3A8A"/>
                <w:sz w:val="19"/>
              </w:rPr>
              <w:t xml:space="preserve">Live Drift Alert Verification: </w:t>
            </w:r>
            <w:r>
              <w:rPr>
                <w:rFonts w:ascii="Times New Roman" w:hAnsi="Times New Roman"/>
                <w:sz w:val="19"/>
              </w:rPr>
              <w:t>In the live telemetry capture in Figure 7, testing a cold-start batch of 2 tickets produced a Message-length PSI of 9.665 and a Sentiment PSI of 10.202. Because the small sample diverges heavily from the 5,000-message baseline, the system triggered a CRITICAL DRIFT alert: 'Significant distribution shift detected. Model retraining recommended via DVC pipeline.' This confirms that the automated drift detection gate operates with high sensitivity, safeguarding production inference from distribution breakdown.</w:t>
            </w:r>
          </w:p>
        </w:tc>
      </w:tr>
    </w:tbl>
    <w:p>
      <w:pPr>
        <w:spacing w:after="60"/>
      </w:pPr>
    </w:p>
    <w:p>
      <w:pPr>
        <w:keepNext/>
        <w:spacing w:before="240" w:after="70"/>
      </w:pPr>
      <w:r>
        <w:rPr>
          <w:rFonts w:ascii="Times New Roman" w:hAnsi="Times New Roman"/>
          <w:b/>
          <w:color w:val="1E3A8A"/>
          <w:sz w:val="24"/>
        </w:rPr>
        <w:t>6. Cloud Deployment Blueprint (Docker &amp; Render PaaS)</w:t>
      </w:r>
    </w:p>
    <w:p>
      <w:pPr>
        <w:pStyle w:val="ListBullet"/>
        <w:spacing w:after="40" w:line="269" w:lineRule="auto"/>
      </w:pPr>
      <w:r>
        <w:rPr>
          <w:rFonts w:ascii="Times New Roman" w:hAnsi="Times New Roman"/>
          <w:b/>
          <w:sz w:val="19"/>
        </w:rPr>
        <w:t xml:space="preserve">Container Hardening: </w:t>
      </w:r>
      <w:r>
        <w:rPr>
          <w:rFonts w:ascii="Times New Roman" w:hAnsi="Times New Roman"/>
          <w:sz w:val="19"/>
        </w:rPr>
        <w:t>Multi-stage Debian Slim container with OpenMP runtime (libgomp1) for LightGBM, running as unprivileged appuser.</w:t>
      </w:r>
    </w:p>
    <w:p>
      <w:pPr>
        <w:pStyle w:val="ListBullet"/>
        <w:spacing w:after="40" w:line="269" w:lineRule="auto"/>
      </w:pPr>
      <w:r>
        <w:rPr>
          <w:rFonts w:ascii="Times New Roman" w:hAnsi="Times New Roman"/>
          <w:b/>
          <w:sz w:val="19"/>
        </w:rPr>
        <w:t xml:space="preserve">Dynamic Port Binding: </w:t>
      </w:r>
      <w:r>
        <w:rPr>
          <w:rFonts w:ascii="Times New Roman" w:hAnsi="Times New Roman"/>
          <w:sz w:val="19"/>
        </w:rPr>
        <w:t>Streamlit binds dynamically to $PORT via render.yaml, maintaining auto-restarts upon container unresponsiveness.</w:t>
      </w:r>
    </w:p>
    <w:p>
      <w:pPr>
        <w:pStyle w:val="ListBullet"/>
        <w:spacing w:after="40" w:line="269" w:lineRule="auto"/>
      </w:pPr>
      <w:r>
        <w:rPr>
          <w:rFonts w:ascii="Times New Roman" w:hAnsi="Times New Roman"/>
          <w:b/>
          <w:sz w:val="19"/>
        </w:rPr>
        <w:t xml:space="preserve">Continuous Delivery: </w:t>
      </w:r>
      <w:r>
        <w:rPr>
          <w:rFonts w:ascii="Times New Roman" w:hAnsi="Times New Roman"/>
          <w:sz w:val="19"/>
        </w:rPr>
        <w:t>Auto-deploys upon Git push to origin/main, maintaining automatic SSL certificates and continuous health monitoring at /_stcore/health.</w:t>
      </w:r>
    </w:p>
    <w:p>
      <w:pPr>
        <w:keepNext/>
        <w:spacing w:before="240" w:after="70"/>
      </w:pPr>
      <w:r>
        <w:rPr>
          <w:rFonts w:ascii="Times New Roman" w:hAnsi="Times New Roman"/>
          <w:b/>
          <w:color w:val="1E3A8A"/>
          <w:sz w:val="24"/>
        </w:rPr>
        <w:t>7. Applied Data Science Curriculum Capstone Summary &amp; Viva Voce Reference</w:t>
      </w:r>
    </w:p>
    <w:p>
      <w:pPr>
        <w:pStyle w:val="ListBullet"/>
        <w:spacing w:after="40" w:line="269" w:lineRule="auto"/>
      </w:pPr>
      <w:r>
        <w:rPr>
          <w:rFonts w:ascii="Times New Roman" w:hAnsi="Times New Roman"/>
          <w:b/>
          <w:sz w:val="19"/>
        </w:rPr>
        <w:t xml:space="preserve">Exp 1-3 (Data &amp; Modeling): </w:t>
      </w:r>
      <w:r>
        <w:rPr>
          <w:rFonts w:ascii="Times New Roman" w:hAnsi="Times New Roman"/>
          <w:sz w:val="19"/>
        </w:rPr>
        <w:t>Negation-aware preprocessing, multi-model benchmarking, and LightGBM hyperparameter optimization.</w:t>
      </w:r>
    </w:p>
    <w:p>
      <w:pPr>
        <w:pStyle w:val="ListBullet"/>
        <w:spacing w:after="40" w:line="269" w:lineRule="auto"/>
      </w:pPr>
      <w:r>
        <w:rPr>
          <w:rFonts w:ascii="Times New Roman" w:hAnsi="Times New Roman"/>
          <w:b/>
          <w:sz w:val="19"/>
        </w:rPr>
        <w:t xml:space="preserve">Exp 4-5 (Experiment Tracking): </w:t>
      </w:r>
      <w:r>
        <w:rPr>
          <w:rFonts w:ascii="Times New Roman" w:hAnsi="Times New Roman"/>
          <w:sz w:val="19"/>
        </w:rPr>
        <w:t>MLflow run logging, model artifact tracking, and DVC data versioning with SHA-256 cryptographic verification.</w:t>
      </w:r>
    </w:p>
    <w:p>
      <w:pPr>
        <w:pStyle w:val="ListBullet"/>
        <w:spacing w:after="40" w:line="269" w:lineRule="auto"/>
      </w:pPr>
      <w:r>
        <w:rPr>
          <w:rFonts w:ascii="Times New Roman" w:hAnsi="Times New Roman"/>
          <w:b/>
          <w:sz w:val="19"/>
        </w:rPr>
        <w:t xml:space="preserve">Exp 6 (Containerization &amp; REST API): </w:t>
      </w:r>
      <w:r>
        <w:rPr>
          <w:rFonts w:ascii="Times New Roman" w:hAnsi="Times New Roman"/>
          <w:sz w:val="19"/>
        </w:rPr>
        <w:t>Production FastAPI microservice with Pydantic validation schemas and Docker containerization.</w:t>
      </w:r>
    </w:p>
    <w:p>
      <w:pPr>
        <w:pStyle w:val="ListBullet"/>
        <w:spacing w:after="40" w:line="269" w:lineRule="auto"/>
      </w:pPr>
      <w:r>
        <w:rPr>
          <w:rFonts w:ascii="Times New Roman" w:hAnsi="Times New Roman"/>
          <w:b/>
          <w:sz w:val="19"/>
        </w:rPr>
        <w:t xml:space="preserve">Exp 7 (CI/CD Quality Gates): </w:t>
      </w:r>
      <w:r>
        <w:rPr>
          <w:rFonts w:ascii="Times New Roman" w:hAnsi="Times New Roman"/>
          <w:sz w:val="19"/>
        </w:rPr>
        <w:t>Multi-stage GitHub Actions pipeline enforcing static linting, Pytest, and smoke testing gates.</w:t>
      </w:r>
    </w:p>
    <w:p>
      <w:pPr>
        <w:pStyle w:val="ListBullet"/>
        <w:spacing w:after="40" w:line="269" w:lineRule="auto"/>
      </w:pPr>
      <w:r>
        <w:rPr>
          <w:rFonts w:ascii="Times New Roman" w:hAnsi="Times New Roman"/>
          <w:b/>
          <w:sz w:val="19"/>
        </w:rPr>
        <w:t xml:space="preserve">Exp 8 (Dashboard, Responsible AI &amp; Cloud): </w:t>
      </w:r>
      <w:r>
        <w:rPr>
          <w:rFonts w:ascii="Times New Roman" w:hAnsi="Times New Roman"/>
          <w:sz w:val="19"/>
        </w:rPr>
        <w:t>Streamlit command center, Fairlearn bias audit, PSI drift detection, and Render cloud deployment.</w:t>
      </w:r>
    </w:p>
    <w:p>
      <w:pPr>
        <w:keepNext/>
        <w:spacing w:before="160" w:after="50"/>
      </w:pPr>
      <w:r>
        <w:rPr>
          <w:rFonts w:ascii="Times New Roman" w:hAnsi="Times New Roman"/>
          <w:b/>
          <w:color w:val="0F766E"/>
          <w:sz w:val="21"/>
        </w:rPr>
        <w:t>Laboratory Review &amp; Viva Voce Q&amp;A Defense Reference</w:t>
      </w:r>
    </w:p>
    <w:p>
      <w:pPr>
        <w:spacing w:after="60" w:line="276" w:lineRule="auto"/>
        <w:jc w:val="left"/>
      </w:pPr>
      <w:r>
        <w:rPr>
          <w:rFonts w:ascii="Times New Roman" w:hAnsi="Times New Roman"/>
          <w:b/>
          <w:sz w:val="20"/>
        </w:rPr>
        <w:t>Q: Why is Demographic Parity alone insufficient for auditing algorithmic fairness?</w:t>
        <w:br/>
      </w:r>
      <w:r>
        <w:rPr>
          <w:rFonts w:ascii="Times New Roman" w:hAnsi="Times New Roman"/>
          <w:sz w:val="20"/>
        </w:rPr>
        <w:t>A: Demographic Parity only measures selection rate equality across groups, ignoring underlying ground-truth base rates. Equalized Odds must be evaluated simultaneously to ensure equal True Positive and False Positive rates across customer segments.</w:t>
      </w:r>
    </w:p>
    <w:p>
      <w:pPr>
        <w:spacing w:after="60" w:line="276" w:lineRule="auto"/>
        <w:jc w:val="left"/>
      </w:pPr>
      <w:r>
        <w:rPr>
          <w:rFonts w:ascii="Times New Roman" w:hAnsi="Times New Roman"/>
          <w:b/>
          <w:sz w:val="20"/>
        </w:rPr>
        <w:t>Q: How does the system compute token-level SHAP attributions in real time?</w:t>
        <w:br/>
      </w:r>
      <w:r>
        <w:rPr>
          <w:rFonts w:ascii="Times New Roman" w:hAnsi="Times New Roman"/>
          <w:sz w:val="20"/>
        </w:rPr>
        <w:t>A: In model_engine.py, we implement a localized leave-one-out perturbation kernel evaluating ΔP(emotion) for each token against pre-trained TF-IDF and LightGBM models, rendering waterfalls in &lt;15ms without requiring expensive background samplers.</w:t>
      </w:r>
    </w:p>
    <w:p>
      <w:pPr>
        <w:spacing w:after="60" w:line="276" w:lineRule="auto"/>
        <w:jc w:val="left"/>
      </w:pPr>
      <w:r>
        <w:rPr>
          <w:rFonts w:ascii="Times New Roman" w:hAnsi="Times New Roman"/>
          <w:b/>
          <w:sz w:val="20"/>
        </w:rPr>
        <w:t>Q: Why did the live dashboard report a Critical Drift PSI of 9.665?</w:t>
        <w:br/>
      </w:r>
      <w:r>
        <w:rPr>
          <w:rFonts w:ascii="Times New Roman" w:hAnsi="Times New Roman"/>
          <w:sz w:val="20"/>
        </w:rPr>
        <w:t>A: With only 2 live test tickets, the empirical distribution diverges sharply from the 5,000-message baseline, correctly triggering the PSI &gt; 0.25 threshold gate and validating alert responsiveness.</w:t>
      </w:r>
    </w:p>
    <w:p>
      <w:pPr>
        <w:spacing w:after="60" w:line="276" w:lineRule="auto"/>
        <w:jc w:val="left"/>
      </w:pPr>
      <w:r>
        <w:rPr>
          <w:rFonts w:ascii="Times New Roman" w:hAnsi="Times New Roman"/>
          <w:b/>
          <w:sz w:val="20"/>
        </w:rPr>
        <w:t>Q: How does PII masking protect customer privacy under GDPR?</w:t>
        <w:br/>
      </w:r>
      <w:r>
        <w:rPr>
          <w:rFonts w:ascii="Times New Roman" w:hAnsi="Times New Roman"/>
          <w:sz w:val="20"/>
        </w:rPr>
        <w:t>A: Regex scrubbers sanitize emails, phone numbers, and payment cards prior to database persistence, ensuring zero raw PII retention while maintaining model inference utility.</w:t>
      </w:r>
    </w:p>
    <w:p>
      <w:pPr>
        <w:keepNext/>
        <w:spacing w:before="240" w:after="70"/>
      </w:pPr>
      <w:r>
        <w:rPr>
          <w:rFonts w:ascii="Times New Roman" w:hAnsi="Times New Roman"/>
          <w:b/>
          <w:color w:val="1E3A8A"/>
          <w:sz w:val="24"/>
        </w:rPr>
        <w:t>8. Conclusion &amp; Capstone Deliverable Certification</w:t>
      </w:r>
    </w:p>
    <w:p>
      <w:pPr>
        <w:spacing w:after="60" w:line="276" w:lineRule="auto"/>
        <w:jc w:val="left"/>
      </w:pPr>
      <w:r>
        <w:rPr>
          <w:rFonts w:ascii="Times New Roman" w:hAnsi="Times New Roman"/>
          <w:sz w:val="20"/>
        </w:rPr>
        <w:t>Experiment 8 establishes an enterprise-ready, fully deployed AI system that bridges machine learning, explainability, statistical observability, and ethical AI governance. Deployed live on Render PaaS (https://adsproject.onrender.com) and fully versioned on GitHub (https://github.com/adityaacharya7/ADSproject), the system successfully validates the entire Applied Data Science curriculum from raw data ingestion to audited, fair, and resilient cloud AI operations.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