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color w:val="1F4E78"/>
          <w:sz w:val="28"/>
        </w:rPr>
        <w:t>EXPERIMENT 6 REPORT</w:t>
      </w:r>
    </w:p>
    <w:p>
      <w:pPr>
        <w:spacing w:after="80"/>
        <w:jc w:val="center"/>
      </w:pPr>
      <w:r>
        <w:rPr>
          <w:rFonts w:ascii="Times New Roman" w:hAnsi="Times New Roman"/>
          <w:b/>
          <w:color w:val="002060"/>
          <w:sz w:val="32"/>
        </w:rPr>
        <w:t>Containerization &amp; API Deployment with FastAPI and Docker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555555"/>
          <w:sz w:val="20"/>
        </w:rPr>
        <w:t>Applied Data Science (ADS)  |  Domain: Production MLOps &amp; Inference Serving  |  September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0F4F8"/>
            <w:tcMar>
              <w:top w:w="100" w:type="dxa"/>
              <w:bottom w:w="100" w:type="dxa"/>
              <w:left w:w="160" w:type="dxa"/>
              <w:right w:w="140" w:type="dxa"/>
            </w:tcMar>
            <w:tcBorders>
              <w:top w:val="none"/>
              <w:bottom w:val="none"/>
              <w:right w:val="none"/>
              <w:left w:val="single" w:sz="24" w:color="1F4E78"/>
            </w:tcBorders>
          </w:tcPr>
          <w:p>
            <w:pPr>
              <w:spacing w:after="0" w:line="276" w:lineRule="auto"/>
            </w:pPr>
            <w:r>
              <w:rPr>
                <w:rFonts w:ascii="Times New Roman" w:hAnsi="Times New Roman"/>
                <w:b/>
                <w:color w:val="1F4E78"/>
                <w:sz w:val="19"/>
              </w:rPr>
              <w:t xml:space="preserve">Executive Summary: </w:t>
            </w:r>
            <w:r>
              <w:rPr>
                <w:rFonts w:ascii="Times New Roman" w:hAnsi="Times New Roman"/>
                <w:sz w:val="19"/>
              </w:rPr>
              <w:t>This academic report details the production deployment and containerization of the Champion Twitter Customer Support Emotion Analysis model. An asynchronous FastAPI REST microservice is packaged into an enterprise-hardened Docker container based on python:3.11-slim, achieving sub-30ms median inference latency and 100% test assertion success.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color w:val="1F4E78"/>
          <w:sz w:val="24"/>
        </w:rPr>
        <w:t>1. Aim &amp; Objectives</w:t>
      </w:r>
    </w:p>
    <w:p>
      <w:pPr>
        <w:spacing w:after="60" w:line="276" w:lineRule="auto"/>
        <w:jc w:val="left"/>
      </w:pPr>
      <w:r>
        <w:rPr>
          <w:rFonts w:ascii="Times New Roman" w:hAnsi="Times New Roman"/>
          <w:b/>
          <w:sz w:val="21"/>
        </w:rPr>
        <w:t xml:space="preserve">Aim: </w:t>
      </w:r>
      <w:r>
        <w:rPr>
          <w:rFonts w:ascii="Times New Roman" w:hAnsi="Times New Roman"/>
          <w:sz w:val="21"/>
        </w:rPr>
        <w:t>To package the trained champion machine learning model in Docker and build an inference REST API with FastAPI for real-time predictions.</w:t>
      </w:r>
    </w:p>
    <w:p>
      <w:pPr>
        <w:spacing w:after="60" w:line="276" w:lineRule="auto"/>
        <w:jc w:val="left"/>
      </w:pPr>
      <w:r>
        <w:rPr>
          <w:rFonts w:ascii="Times New Roman" w:hAnsi="Times New Roman"/>
          <w:b/>
          <w:sz w:val="21"/>
        </w:rPr>
        <w:t xml:space="preserve">Objectives: </w:t>
      </w:r>
      <w:r>
        <w:rPr>
          <w:rFonts w:ascii="Times New Roman" w:hAnsi="Times New Roman"/>
          <w:sz w:val="21"/>
        </w:rPr>
        <w:t>The deployment satisfies five core engineering objectives: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1. Asynchronous REST Microservice: </w:t>
      </w:r>
      <w:r>
        <w:rPr>
          <w:rFonts w:ascii="Times New Roman" w:hAnsi="Times New Roman"/>
          <w:sz w:val="20"/>
        </w:rPr>
        <w:t>Build a high-performance ASGI API with FastAPI and Uvicorn featuring strict Pydantic v2 data validation.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2. Comprehensive Inference Endpoints: </w:t>
      </w:r>
      <w:r>
        <w:rPr>
          <w:rFonts w:ascii="Times New Roman" w:hAnsi="Times New Roman"/>
          <w:sz w:val="20"/>
        </w:rPr>
        <w:t>Expose real-time single (/predict) and vectorized batch (/predict/batch) inference with automated support ticket urgency tagging.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3. Operational Health Monitoring: </w:t>
      </w:r>
      <w:r>
        <w:rPr>
          <w:rFonts w:ascii="Times New Roman" w:hAnsi="Times New Roman"/>
          <w:sz w:val="20"/>
        </w:rPr>
        <w:t>Implement a production liveness/readiness probe (/health) tracking model memory status and system uptime.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4. Enterprise Docker Containerization: </w:t>
      </w:r>
      <w:r>
        <w:rPr>
          <w:rFonts w:ascii="Times New Roman" w:hAnsi="Times New Roman"/>
          <w:sz w:val="20"/>
        </w:rPr>
        <w:t>Package the application within a security-hardened, non-root Dockerfile based on python:3.11-slim.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5. Automated Test Verification: </w:t>
      </w:r>
      <w:r>
        <w:rPr>
          <w:rFonts w:ascii="Times New Roman" w:hAnsi="Times New Roman"/>
          <w:sz w:val="20"/>
        </w:rPr>
        <w:t>Measure latency percentiles (p50, p95, p99) and compile verifiable JSON test evidence logs.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F4E78"/>
          <w:sz w:val="24"/>
        </w:rPr>
        <w:t>2. System Architecture &amp; API Design</w:t>
      </w:r>
    </w:p>
    <w:p>
      <w:pPr>
        <w:spacing w:after="60" w:line="276" w:lineRule="auto"/>
        <w:jc w:val="left"/>
      </w:pPr>
      <w:r>
        <w:rPr>
          <w:rFonts w:ascii="Times New Roman" w:hAnsi="Times New Roman"/>
          <w:sz w:val="21"/>
        </w:rPr>
        <w:t>The microservice adopts an Asynchronous Server Gateway Interface (ASGI) design. Client requests are ingested over HTTP POST, validated by Pydantic, dispatched to the in-memory pre-loaded champion emotion pipeline, and returned as structured JSON responses within milliseconds.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90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_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i/>
          <w:color w:val="555555"/>
          <w:sz w:val="18"/>
        </w:rPr>
        <w:t>Figure 1: Production Microservice Architecture and Request Flow.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F4E78"/>
          <w:sz w:val="24"/>
        </w:rPr>
        <w:t>3. Docker Containerization &amp; Security Best Practices</w:t>
      </w:r>
    </w:p>
    <w:p>
      <w:pPr>
        <w:spacing w:after="60" w:line="276" w:lineRule="auto"/>
        <w:jc w:val="left"/>
      </w:pPr>
      <w:r>
        <w:rPr>
          <w:rFonts w:ascii="Times New Roman" w:hAnsi="Times New Roman"/>
          <w:sz w:val="21"/>
        </w:rPr>
        <w:t>The microservice is containerized using an enterprise-ready Dockerfile designed for minimal image size and maximum runtime security: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Minimal Attack Surface: </w:t>
      </w:r>
      <w:r>
        <w:rPr>
          <w:rFonts w:ascii="Times New Roman" w:hAnsi="Times New Roman"/>
          <w:sz w:val="20"/>
        </w:rPr>
        <w:t>Built on python:3.11-slim, keeping total image size below 350MB and eliminating unnecessary operating system utilities.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Optimized Layer Caching: </w:t>
      </w:r>
      <w:r>
        <w:rPr>
          <w:rFonts w:ascii="Times New Roman" w:hAnsi="Times New Roman"/>
          <w:sz w:val="20"/>
        </w:rPr>
        <w:t>Dependencies (requirements.txt) are installed in an isolated caching layer before source code is copied.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Non-Root Security Context: </w:t>
      </w:r>
      <w:r>
        <w:rPr>
          <w:rFonts w:ascii="Times New Roman" w:hAnsi="Times New Roman"/>
          <w:sz w:val="20"/>
        </w:rPr>
        <w:t>The process runs under a dedicated, unprivileged 'appuser' account, mitigating container breakout risks.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Container Healthcheck: </w:t>
      </w:r>
      <w:r>
        <w:rPr>
          <w:rFonts w:ascii="Times New Roman" w:hAnsi="Times New Roman"/>
          <w:sz w:val="20"/>
        </w:rPr>
        <w:t>A native HEALTHCHECK probe polls the /health endpoint every 30 seconds to support auto-healing in orchestration clusters.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1F4E78"/>
          <w:sz w:val="24"/>
        </w:rPr>
        <w:t>4. Automated Verification Suite &amp; Latency Profiling</w:t>
      </w:r>
    </w:p>
    <w:p>
      <w:pPr>
        <w:spacing w:after="60" w:line="276" w:lineRule="auto"/>
        <w:jc w:val="left"/>
      </w:pPr>
      <w:r>
        <w:rPr>
          <w:rFonts w:ascii="Times New Roman" w:hAnsi="Times New Roman"/>
          <w:sz w:val="21"/>
        </w:rPr>
        <w:t>We implemented an automated test client (test_api.py) evaluating 7 distinct scenarios including praise, severe customer complaints, batch arrays, and malformed payload error handling (HTTP 422):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insideH w:val="single" w:sz="4" w:space="0" w:color="D0D7DE"/>
          <w:insideV w:val="none"/>
          <w:left w:val="none"/>
          <w:right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1F4E7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Scenario / Endpoint</w:t>
            </w:r>
          </w:p>
        </w:tc>
        <w:tc>
          <w:tcPr>
            <w:tcW w:type="dxa" w:w="3264"/>
            <w:shd w:fill="1F4E7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HTTP Status</w:t>
            </w:r>
          </w:p>
        </w:tc>
        <w:tc>
          <w:tcPr>
            <w:tcW w:type="dxa" w:w="3264"/>
            <w:shd w:fill="1F4E7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Validation Outcome</w:t>
            </w:r>
          </w:p>
        </w:tc>
      </w:tr>
      <w:tr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GET / (Root Metadata)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HTTP 200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PASS (100% Assertion Match)</w:t>
            </w:r>
          </w:p>
        </w:tc>
      </w:tr>
      <w:tr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GET /health (Liveness Probe)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HTTP 200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PASS (100% Assertion Match)</w:t>
            </w:r>
          </w:p>
        </w:tc>
      </w:tr>
      <w:tr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POST /predict (Anger/Frustration Complaint)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HTTP 200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PASS (100% Assertion Match)</w:t>
            </w:r>
          </w:p>
        </w:tc>
      </w:tr>
      <w:tr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POST /predict (Joy/Gratitude Feedback)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HTTP 200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PASS (100% Assertion Match)</w:t>
            </w:r>
          </w:p>
        </w:tc>
      </w:tr>
      <w:tr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POST /predict/batch (Vectorized Batch)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HTTP 200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PASS (100% Assertion Match)</w:t>
            </w:r>
          </w:p>
        </w:tc>
      </w:tr>
      <w:tr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Validation Error (Empty String)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HTTP 422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PASS (100% Assertion Match)</w:t>
            </w:r>
          </w:p>
        </w:tc>
      </w:tr>
      <w:tr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Validation Error (Missing Field)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HTTP 422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7"/>
              </w:rPr>
              <w:t>PASS (100% Assertion Match)</w:t>
            </w:r>
          </w:p>
        </w:tc>
      </w:tr>
    </w:tbl>
    <w:p>
      <w:pPr>
        <w:spacing w:after="120"/>
        <w:jc w:val="center"/>
      </w:pPr>
      <w:r>
        <w:rPr>
          <w:i/>
          <w:sz w:val="18"/>
        </w:rPr>
        <w:t>Table 1: Automated Test Verification and Schema Validation Results.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4967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6_api_latency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96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i/>
          <w:color w:val="555555"/>
          <w:sz w:val="18"/>
        </w:rPr>
        <w:t>Figure 2: API Inference Latency Distribution (50 Iterations).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0F4F8"/>
            <w:tcMar>
              <w:top w:w="100" w:type="dxa"/>
              <w:bottom w:w="100" w:type="dxa"/>
              <w:left w:w="160" w:type="dxa"/>
              <w:right w:w="140" w:type="dxa"/>
            </w:tcMar>
            <w:tcBorders>
              <w:top w:val="none"/>
              <w:bottom w:val="none"/>
              <w:right w:val="none"/>
              <w:left w:val="single" w:sz="24" w:color="1F4E78"/>
            </w:tcBorders>
          </w:tcPr>
          <w:p>
            <w:pPr>
              <w:spacing w:after="0" w:line="276" w:lineRule="auto"/>
            </w:pPr>
            <w:r>
              <w:rPr>
                <w:rFonts w:ascii="Times New Roman" w:hAnsi="Times New Roman"/>
                <w:b/>
                <w:color w:val="1F4E78"/>
                <w:sz w:val="19"/>
              </w:rPr>
              <w:t xml:space="preserve">Performance Benchmark: </w:t>
            </w:r>
            <w:r>
              <w:rPr>
                <w:rFonts w:ascii="Times New Roman" w:hAnsi="Times New Roman"/>
                <w:sz w:val="19"/>
              </w:rPr>
              <w:t>Latency Profiling Summary (50 Samples):</w:t>
              <w:br/>
              <w:t>- Median Latency (p50): 21.83 ms</w:t>
              <w:br/>
              <w:t>- 95th Percentile (p95): 105.67 ms</w:t>
              <w:br/>
              <w:t>- 99th Percentile (p99): 180.19 ms</w:t>
              <w:br/>
              <w:t>- Estimated Throughput: 31.8 req/sec (Single Thread)</w:t>
            </w:r>
          </w:p>
        </w:tc>
      </w:tr>
    </w:tbl>
    <w:p>
      <w:pPr>
        <w:spacing w:after="60"/>
      </w:pPr>
    </w:p>
    <w:p>
      <w:pPr>
        <w:keepNext/>
        <w:spacing w:before="200" w:after="80"/>
      </w:pPr>
      <w:r>
        <w:rPr>
          <w:rFonts w:ascii="Times New Roman" w:hAnsi="Times New Roman"/>
          <w:b/>
          <w:color w:val="1F4E78"/>
          <w:sz w:val="24"/>
        </w:rPr>
        <w:t>5. Conclusion</w:t>
      </w:r>
    </w:p>
    <w:p>
      <w:pPr>
        <w:spacing w:after="60" w:line="276" w:lineRule="auto"/>
        <w:jc w:val="left"/>
      </w:pPr>
      <w:r>
        <w:rPr>
          <w:rFonts w:ascii="Times New Roman" w:hAnsi="Times New Roman"/>
          <w:sz w:val="21"/>
        </w:rPr>
        <w:t>Experiment 6 successfully operationalized the customer support emotion model into an enterprise-grade, containerized microservice. By combining FastAPI's asynchronous architecture, Pydantic's strict type validation, and Docker's reproducible sandboxing, the system delivers sub-30ms real-time inference latency and automated high-priority ticket escalation ready for cloud production deployment.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Times New Roman" w:hAnsi="Times New Roman"/>
      <w:color w:val="2429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