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Okta to PingFederate migration strategy</w:t>
      </w:r>
    </w:p>
    <w:p>
      <w:r>
        <w:rPr>
          <w:color w:val="667085"/>
        </w:rPr>
        <w:t>Customer · generated 27 Sep 2026</w:t>
      </w:r>
    </w:p>
    <w:p>
      <w:pPr>
        <w:pStyle w:val="Heading1"/>
      </w:pPr>
      <w:r>
        <w:t>Executive summary</w:t>
      </w:r>
    </w:p>
    <w:p>
      <w:r>
        <w:t>Customer has 13 applications in Okta, of which 11 use SAML or OIDC and are in scope for PingFederate. 3 of these look unused or retired and should be decommissioned rather than migrated, leaving 8 applications used by about 82 people. With the current assumptions the migration runs from 28 Sep 2026 to 15 Nov 2026 in 3 wave(s), for roughly 116 hours of engineering effort.</w:t>
      </w:r>
    </w:p>
    <w:p>
      <w:pPr>
        <w:pStyle w:val="ListBullet"/>
      </w:pPr>
      <w:r>
        <w:t>3 application(s) are blocked until 3 decision(s) are made; the most valuable is "Allow OGNL expressions in PingFederate?" (2 app(s)).</w:t>
      </w:r>
    </w:p>
    <w:p>
      <w:pPr>
        <w:pStyle w:val="ListBullet"/>
      </w:pPr>
      <w:r>
        <w:t>Start with Wave 1 (4 app(s), cutover around 18 Oct).</w:t>
      </w:r>
    </w:p>
    <w:p>
      <w:pPr>
        <w:pStyle w:val="ListBullet"/>
      </w:pPr>
      <w:r>
        <w:t>The directory needs 6 group(s) and 1 attribute value(s) before the affected apps can move.</w:t>
      </w:r>
    </w:p>
    <w:p>
      <w:r>
        <w:rPr>
          <w:b/>
        </w:rPr>
        <w:t>Agree the open decisions in the next steering meeting, confirm owners and test environments for the first wave, and start directory preparation in parallel.</w:t>
      </w:r>
    </w:p>
    <w:p>
      <w:pPr>
        <w:pStyle w:val="Heading1"/>
      </w:pPr>
      <w:r>
        <w:t>Scope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Applications</w:t>
            </w:r>
          </w:p>
        </w:tc>
      </w:tr>
      <w:tr>
        <w:tc>
          <w:tcPr>
            <w:tcW w:type="dxa" w:w="4320"/>
          </w:tcPr>
          <w:p>
            <w:r>
              <w:t>In Okta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SAML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OIDC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Other (bookmark, password vaulting…) - out of scope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Decommission candidates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To migrate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People affected (active users where known)</w:t>
            </w:r>
          </w:p>
        </w:tc>
        <w:tc>
          <w:tcPr>
            <w:tcW w:type="dxa" w:w="4320"/>
          </w:tcPr>
          <w:p>
            <w:r>
              <w:t>82</w:t>
            </w:r>
          </w:p>
        </w:tc>
      </w:tr>
    </w:tbl>
    <w:p/>
    <w:p>
      <w:r>
        <w:t>Decommission candidates: Expense Portal (UAT), Legacy Intranet SPA, Legacy Travel Booking</w:t>
      </w:r>
    </w:p>
    <w:p>
      <w:pPr>
        <w:pStyle w:val="Heading1"/>
      </w:pPr>
      <w:r>
        <w:t>Approach</w:t>
      </w:r>
    </w:p>
    <w:p>
      <w:pPr>
        <w:pStyle w:val="ListBullet"/>
      </w:pPr>
      <w:r>
        <w:t>Migrate in waves: a low-risk pilot wave first, high-impact apps last, blocked apps after their decisions are made.</w:t>
      </w:r>
    </w:p>
    <w:p>
      <w:pPr>
        <w:pStyle w:val="ListBullet"/>
      </w:pPr>
      <w:r>
        <w:t>Keep each Okta app active until its PingFederate connection is verified in production, so rollback is a single SP-side change.</w:t>
      </w:r>
    </w:p>
    <w:p>
      <w:pPr>
        <w:pStyle w:val="ListBullet"/>
      </w:pPr>
      <w:r>
        <w:t>Recreate access control explicitly: PingFederate has no app assignments, so every app gets issuance criteria or an access policy.</w:t>
      </w:r>
    </w:p>
    <w:p>
      <w:pPr>
        <w:pStyle w:val="ListBullet"/>
      </w:pPr>
      <w:r>
        <w:t>Prepare the directory first (Okta-only groups, app-specific attributes), because PingFederate reads users and groups from it.</w:t>
      </w:r>
    </w:p>
    <w:p>
      <w:pPr>
        <w:pStyle w:val="ListBullet"/>
      </w:pPr>
      <w:r>
        <w:t>Coordinate SP-side changes early: each vendor or app team must accept PingFederate's metadata, certificate and endpoints.</w:t>
      </w:r>
    </w:p>
    <w:p>
      <w:pPr>
        <w:pStyle w:val="ListBullet"/>
      </w:pPr>
      <w:r>
        <w:t>Decommission instead of migrating where apps are unused, unassigned or inactive.</w:t>
      </w:r>
    </w:p>
    <w:p>
      <w:pPr>
        <w:pStyle w:val="Heading1"/>
      </w:pPr>
      <w:r>
        <w:t>Waves and timeline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Wave</w:t>
            </w:r>
          </w:p>
        </w:tc>
        <w:tc>
          <w:tcPr>
            <w:tcW w:type="dxa" w:w="1728"/>
          </w:tcPr>
          <w:p>
            <w:r>
              <w:t>Apps</w:t>
            </w:r>
          </w:p>
        </w:tc>
        <w:tc>
          <w:tcPr>
            <w:tcW w:type="dxa" w:w="1728"/>
          </w:tcPr>
          <w:p>
            <w:r>
              <w:t>Users</w:t>
            </w:r>
          </w:p>
        </w:tc>
        <w:tc>
          <w:tcPr>
            <w:tcW w:type="dxa" w:w="1728"/>
          </w:tcPr>
          <w:p>
            <w:r>
              <w:t>Effort (h)</w:t>
            </w:r>
          </w:p>
        </w:tc>
        <w:tc>
          <w:tcPr>
            <w:tcW w:type="dxa" w:w="1728"/>
          </w:tcPr>
          <w:p>
            <w:r>
              <w:t>Planned cutover</w:t>
            </w:r>
          </w:p>
        </w:tc>
      </w:tr>
      <w:tr>
        <w:tc>
          <w:tcPr>
            <w:tcW w:type="dxa" w:w="1728"/>
          </w:tcPr>
          <w:p>
            <w:r>
              <w:t>Wave 1</w:t>
            </w:r>
          </w:p>
        </w:tc>
        <w:tc>
          <w:tcPr>
            <w:tcW w:type="dxa" w:w="1728"/>
          </w:tcPr>
          <w:p>
            <w:r>
              <w:t>Employee Portal, Mobile Expenses, Reporting API, ServiceNow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39.6</w:t>
            </w:r>
          </w:p>
        </w:tc>
        <w:tc>
          <w:tcPr>
            <w:tcW w:type="dxa" w:w="1728"/>
          </w:tcPr>
          <w:p>
            <w:r>
              <w:t>18 Oct 2026</w:t>
            </w:r>
          </w:p>
        </w:tc>
      </w:tr>
      <w:tr>
        <w:tc>
          <w:tcPr>
            <w:tcW w:type="dxa" w:w="1728"/>
          </w:tcPr>
          <w:p>
            <w:r>
              <w:t>Wave 2</w:t>
            </w:r>
          </w:p>
        </w:tc>
        <w:tc>
          <w:tcPr>
            <w:tcW w:type="dxa" w:w="1728"/>
          </w:tcPr>
          <w:p>
            <w:r>
              <w:t>Salesforce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14.4</w:t>
            </w:r>
          </w:p>
        </w:tc>
        <w:tc>
          <w:tcPr>
            <w:tcW w:type="dxa" w:w="1728"/>
          </w:tcPr>
          <w:p>
            <w:r>
              <w:t>25 Oct 2026</w:t>
            </w:r>
          </w:p>
        </w:tc>
      </w:tr>
      <w:tr>
        <w:tc>
          <w:tcPr>
            <w:tcW w:type="dxa" w:w="1728"/>
          </w:tcPr>
          <w:p>
            <w:r>
              <w:t>Blocked</w:t>
            </w:r>
          </w:p>
        </w:tc>
        <w:tc>
          <w:tcPr>
            <w:tcW w:type="dxa" w:w="1728"/>
          </w:tcPr>
          <w:p>
            <w:r>
              <w:t>Engineering Wiki (Confluence DC), Expense Portal, HR Analytics (Tableau)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51.6</w:t>
            </w:r>
          </w:p>
        </w:tc>
        <w:tc>
          <w:tcPr>
            <w:tcW w:type="dxa" w:w="1728"/>
          </w:tcPr>
          <w:p>
            <w:r>
              <w:t>08 Nov 2026</w:t>
            </w:r>
          </w:p>
        </w:tc>
      </w:tr>
    </w:tbl>
    <w:p/>
    <w:p>
      <w:r>
        <w:t>Assumptions: start 28 Sep 2026; 2 engineer(s) at 30 h/week; vendor lead time 14 days; pilot 5 days; hypercare 7 days; decisions within 21 days; 20% buffer. Calendar days. Total effort about 116 hours, finishing around 15 Nov 2026.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Wave</w:t>
            </w:r>
          </w:p>
        </w:tc>
        <w:tc>
          <w:tcPr>
            <w:tcW w:type="dxa" w:w="2160"/>
          </w:tcPr>
          <w:p>
            <w:r>
              <w:t>Phase</w:t>
            </w:r>
          </w:p>
        </w:tc>
        <w:tc>
          <w:tcPr>
            <w:tcW w:type="dxa" w:w="2160"/>
          </w:tcPr>
          <w:p>
            <w:r>
              <w:t>Start</w:t>
            </w:r>
          </w:p>
        </w:tc>
        <w:tc>
          <w:tcPr>
            <w:tcW w:type="dxa" w:w="2160"/>
          </w:tcPr>
          <w:p>
            <w:r>
              <w:t>End</w:t>
            </w:r>
          </w:p>
        </w:tc>
      </w:tr>
      <w:tr>
        <w:tc>
          <w:tcPr>
            <w:tcW w:type="dxa" w:w="2160"/>
          </w:tcPr>
          <w:p>
            <w:r>
              <w:t>All waves</w:t>
            </w:r>
          </w:p>
        </w:tc>
        <w:tc>
          <w:tcPr>
            <w:tcW w:type="dxa" w:w="2160"/>
          </w:tcPr>
          <w:p>
            <w:r>
              <w:t>Directory prep</w:t>
            </w:r>
          </w:p>
        </w:tc>
        <w:tc>
          <w:tcPr>
            <w:tcW w:type="dxa" w:w="2160"/>
          </w:tcPr>
          <w:p>
            <w:r>
              <w:t>28 Sep</w:t>
            </w:r>
          </w:p>
        </w:tc>
        <w:tc>
          <w:tcPr>
            <w:tcW w:type="dxa" w:w="2160"/>
          </w:tcPr>
          <w:p>
            <w:r>
              <w:t>05 Oct</w:t>
            </w:r>
          </w:p>
        </w:tc>
      </w:tr>
      <w:tr>
        <w:tc>
          <w:tcPr>
            <w:tcW w:type="dxa" w:w="2160"/>
          </w:tcPr>
          <w:p>
            <w:r>
              <w:t>Wave 1</w:t>
            </w:r>
          </w:p>
        </w:tc>
        <w:tc>
          <w:tcPr>
            <w:tcW w:type="dxa" w:w="2160"/>
          </w:tcPr>
          <w:p>
            <w:r>
              <w:t>Build in PingFederate</w:t>
            </w:r>
          </w:p>
        </w:tc>
        <w:tc>
          <w:tcPr>
            <w:tcW w:type="dxa" w:w="2160"/>
          </w:tcPr>
          <w:p>
            <w:r>
              <w:t>28 Sep</w:t>
            </w:r>
          </w:p>
        </w:tc>
        <w:tc>
          <w:tcPr>
            <w:tcW w:type="dxa" w:w="2160"/>
          </w:tcPr>
          <w:p>
            <w:r>
              <w:t>05 Oct</w:t>
            </w:r>
          </w:p>
        </w:tc>
      </w:tr>
      <w:tr>
        <w:tc>
          <w:tcPr>
            <w:tcW w:type="dxa" w:w="2160"/>
          </w:tcPr>
          <w:p>
            <w:r>
              <w:t>Wave 1</w:t>
            </w:r>
          </w:p>
        </w:tc>
        <w:tc>
          <w:tcPr>
            <w:tcW w:type="dxa" w:w="2160"/>
          </w:tcPr>
          <w:p>
            <w:r>
              <w:t>SP / app changes (vendor lead time)</w:t>
            </w:r>
          </w:p>
        </w:tc>
        <w:tc>
          <w:tcPr>
            <w:tcW w:type="dxa" w:w="2160"/>
          </w:tcPr>
          <w:p>
            <w:r>
              <w:t>28 Sep</w:t>
            </w:r>
          </w:p>
        </w:tc>
        <w:tc>
          <w:tcPr>
            <w:tcW w:type="dxa" w:w="2160"/>
          </w:tcPr>
          <w:p>
            <w:r>
              <w:t>12 Oct</w:t>
            </w:r>
          </w:p>
        </w:tc>
      </w:tr>
      <w:tr>
        <w:tc>
          <w:tcPr>
            <w:tcW w:type="dxa" w:w="2160"/>
          </w:tcPr>
          <w:p>
            <w:r>
              <w:t>Wave 1</w:t>
            </w:r>
          </w:p>
        </w:tc>
        <w:tc>
          <w:tcPr>
            <w:tcW w:type="dxa" w:w="2160"/>
          </w:tcPr>
          <w:p>
            <w:r>
              <w:t>Pilot</w:t>
            </w:r>
          </w:p>
        </w:tc>
        <w:tc>
          <w:tcPr>
            <w:tcW w:type="dxa" w:w="2160"/>
          </w:tcPr>
          <w:p>
            <w:r>
              <w:t>12 Oct</w:t>
            </w:r>
          </w:p>
        </w:tc>
        <w:tc>
          <w:tcPr>
            <w:tcW w:type="dxa" w:w="2160"/>
          </w:tcPr>
          <w:p>
            <w:r>
              <w:t>17 Oct</w:t>
            </w:r>
          </w:p>
        </w:tc>
      </w:tr>
      <w:tr>
        <w:tc>
          <w:tcPr>
            <w:tcW w:type="dxa" w:w="2160"/>
          </w:tcPr>
          <w:p>
            <w:r>
              <w:t>Wave 1</w:t>
            </w:r>
          </w:p>
        </w:tc>
        <w:tc>
          <w:tcPr>
            <w:tcW w:type="dxa" w:w="2160"/>
          </w:tcPr>
          <w:p>
            <w:r>
              <w:t>Cutover</w:t>
            </w:r>
          </w:p>
        </w:tc>
        <w:tc>
          <w:tcPr>
            <w:tcW w:type="dxa" w:w="2160"/>
          </w:tcPr>
          <w:p>
            <w:r>
              <w:t>17 Oct</w:t>
            </w:r>
          </w:p>
        </w:tc>
        <w:tc>
          <w:tcPr>
            <w:tcW w:type="dxa" w:w="2160"/>
          </w:tcPr>
          <w:p>
            <w:r>
              <w:t>18 Oct</w:t>
            </w:r>
          </w:p>
        </w:tc>
      </w:tr>
      <w:tr>
        <w:tc>
          <w:tcPr>
            <w:tcW w:type="dxa" w:w="2160"/>
          </w:tcPr>
          <w:p>
            <w:r>
              <w:t>Wave 1</w:t>
            </w:r>
          </w:p>
        </w:tc>
        <w:tc>
          <w:tcPr>
            <w:tcW w:type="dxa" w:w="2160"/>
          </w:tcPr>
          <w:p>
            <w:r>
              <w:t>Hypercare, then remove from Okta</w:t>
            </w:r>
          </w:p>
        </w:tc>
        <w:tc>
          <w:tcPr>
            <w:tcW w:type="dxa" w:w="2160"/>
          </w:tcPr>
          <w:p>
            <w:r>
              <w:t>18 Oct</w:t>
            </w:r>
          </w:p>
        </w:tc>
        <w:tc>
          <w:tcPr>
            <w:tcW w:type="dxa" w:w="2160"/>
          </w:tcPr>
          <w:p>
            <w:r>
              <w:t>25 Oct</w:t>
            </w:r>
          </w:p>
        </w:tc>
      </w:tr>
      <w:tr>
        <w:tc>
          <w:tcPr>
            <w:tcW w:type="dxa" w:w="2160"/>
          </w:tcPr>
          <w:p>
            <w:r>
              <w:t>Wave 2</w:t>
            </w:r>
          </w:p>
        </w:tc>
        <w:tc>
          <w:tcPr>
            <w:tcW w:type="dxa" w:w="2160"/>
          </w:tcPr>
          <w:p>
            <w:r>
              <w:t>Build in PingFederate</w:t>
            </w:r>
          </w:p>
        </w:tc>
        <w:tc>
          <w:tcPr>
            <w:tcW w:type="dxa" w:w="2160"/>
          </w:tcPr>
          <w:p>
            <w:r>
              <w:t>05 Oct</w:t>
            </w:r>
          </w:p>
        </w:tc>
        <w:tc>
          <w:tcPr>
            <w:tcW w:type="dxa" w:w="2160"/>
          </w:tcPr>
          <w:p>
            <w:r>
              <w:t>12 Oct</w:t>
            </w:r>
          </w:p>
        </w:tc>
      </w:tr>
      <w:tr>
        <w:tc>
          <w:tcPr>
            <w:tcW w:type="dxa" w:w="2160"/>
          </w:tcPr>
          <w:p>
            <w:r>
              <w:t>Wave 2</w:t>
            </w:r>
          </w:p>
        </w:tc>
        <w:tc>
          <w:tcPr>
            <w:tcW w:type="dxa" w:w="2160"/>
          </w:tcPr>
          <w:p>
            <w:r>
              <w:t>SP / app changes (vendor lead time)</w:t>
            </w:r>
          </w:p>
        </w:tc>
        <w:tc>
          <w:tcPr>
            <w:tcW w:type="dxa" w:w="2160"/>
          </w:tcPr>
          <w:p>
            <w:r>
              <w:t>05 Oct</w:t>
            </w:r>
          </w:p>
        </w:tc>
        <w:tc>
          <w:tcPr>
            <w:tcW w:type="dxa" w:w="2160"/>
          </w:tcPr>
          <w:p>
            <w:r>
              <w:t>19 Oct</w:t>
            </w:r>
          </w:p>
        </w:tc>
      </w:tr>
      <w:tr>
        <w:tc>
          <w:tcPr>
            <w:tcW w:type="dxa" w:w="2160"/>
          </w:tcPr>
          <w:p>
            <w:r>
              <w:t>Wave 2</w:t>
            </w:r>
          </w:p>
        </w:tc>
        <w:tc>
          <w:tcPr>
            <w:tcW w:type="dxa" w:w="2160"/>
          </w:tcPr>
          <w:p>
            <w:r>
              <w:t>Pilot</w:t>
            </w:r>
          </w:p>
        </w:tc>
        <w:tc>
          <w:tcPr>
            <w:tcW w:type="dxa" w:w="2160"/>
          </w:tcPr>
          <w:p>
            <w:r>
              <w:t>19 Oct</w:t>
            </w:r>
          </w:p>
        </w:tc>
        <w:tc>
          <w:tcPr>
            <w:tcW w:type="dxa" w:w="2160"/>
          </w:tcPr>
          <w:p>
            <w:r>
              <w:t>24 Oct</w:t>
            </w:r>
          </w:p>
        </w:tc>
      </w:tr>
      <w:tr>
        <w:tc>
          <w:tcPr>
            <w:tcW w:type="dxa" w:w="2160"/>
          </w:tcPr>
          <w:p>
            <w:r>
              <w:t>Wave 2</w:t>
            </w:r>
          </w:p>
        </w:tc>
        <w:tc>
          <w:tcPr>
            <w:tcW w:type="dxa" w:w="2160"/>
          </w:tcPr>
          <w:p>
            <w:r>
              <w:t>Cutover</w:t>
            </w:r>
          </w:p>
        </w:tc>
        <w:tc>
          <w:tcPr>
            <w:tcW w:type="dxa" w:w="2160"/>
          </w:tcPr>
          <w:p>
            <w:r>
              <w:t>24 Oct</w:t>
            </w:r>
          </w:p>
        </w:tc>
        <w:tc>
          <w:tcPr>
            <w:tcW w:type="dxa" w:w="2160"/>
          </w:tcPr>
          <w:p>
            <w:r>
              <w:t>25 Oct</w:t>
            </w:r>
          </w:p>
        </w:tc>
      </w:tr>
      <w:tr>
        <w:tc>
          <w:tcPr>
            <w:tcW w:type="dxa" w:w="2160"/>
          </w:tcPr>
          <w:p>
            <w:r>
              <w:t>Wave 2</w:t>
            </w:r>
          </w:p>
        </w:tc>
        <w:tc>
          <w:tcPr>
            <w:tcW w:type="dxa" w:w="2160"/>
          </w:tcPr>
          <w:p>
            <w:r>
              <w:t>Hypercare, then remove from Okta</w:t>
            </w:r>
          </w:p>
        </w:tc>
        <w:tc>
          <w:tcPr>
            <w:tcW w:type="dxa" w:w="2160"/>
          </w:tcPr>
          <w:p>
            <w:r>
              <w:t>25 Oct</w:t>
            </w:r>
          </w:p>
        </w:tc>
        <w:tc>
          <w:tcPr>
            <w:tcW w:type="dxa" w:w="2160"/>
          </w:tcPr>
          <w:p>
            <w:r>
              <w:t>01 Nov</w:t>
            </w:r>
          </w:p>
        </w:tc>
      </w:tr>
      <w:tr>
        <w:tc>
          <w:tcPr>
            <w:tcW w:type="dxa" w:w="2160"/>
          </w:tcPr>
          <w:p>
            <w:r>
              <w:t>Blocked</w:t>
            </w:r>
          </w:p>
        </w:tc>
        <w:tc>
          <w:tcPr>
            <w:tcW w:type="dxa" w:w="2160"/>
          </w:tcPr>
          <w:p>
            <w:r>
              <w:t>Decisions</w:t>
            </w:r>
          </w:p>
        </w:tc>
        <w:tc>
          <w:tcPr>
            <w:tcW w:type="dxa" w:w="2160"/>
          </w:tcPr>
          <w:p>
            <w:r>
              <w:t>28 Sep</w:t>
            </w:r>
          </w:p>
        </w:tc>
        <w:tc>
          <w:tcPr>
            <w:tcW w:type="dxa" w:w="2160"/>
          </w:tcPr>
          <w:p>
            <w:r>
              <w:t>19 Oct</w:t>
            </w:r>
          </w:p>
        </w:tc>
      </w:tr>
      <w:tr>
        <w:tc>
          <w:tcPr>
            <w:tcW w:type="dxa" w:w="2160"/>
          </w:tcPr>
          <w:p>
            <w:r>
              <w:t>Blocked</w:t>
            </w:r>
          </w:p>
        </w:tc>
        <w:tc>
          <w:tcPr>
            <w:tcW w:type="dxa" w:w="2160"/>
          </w:tcPr>
          <w:p>
            <w:r>
              <w:t>Build in PingFederate</w:t>
            </w:r>
          </w:p>
        </w:tc>
        <w:tc>
          <w:tcPr>
            <w:tcW w:type="dxa" w:w="2160"/>
          </w:tcPr>
          <w:p>
            <w:r>
              <w:t>19 Oct</w:t>
            </w:r>
          </w:p>
        </w:tc>
        <w:tc>
          <w:tcPr>
            <w:tcW w:type="dxa" w:w="2160"/>
          </w:tcPr>
          <w:p>
            <w:r>
              <w:t>26 Oct</w:t>
            </w:r>
          </w:p>
        </w:tc>
      </w:tr>
      <w:tr>
        <w:tc>
          <w:tcPr>
            <w:tcW w:type="dxa" w:w="2160"/>
          </w:tcPr>
          <w:p>
            <w:r>
              <w:t>Blocked</w:t>
            </w:r>
          </w:p>
        </w:tc>
        <w:tc>
          <w:tcPr>
            <w:tcW w:type="dxa" w:w="2160"/>
          </w:tcPr>
          <w:p>
            <w:r>
              <w:t>SP / app changes (vendor lead time)</w:t>
            </w:r>
          </w:p>
        </w:tc>
        <w:tc>
          <w:tcPr>
            <w:tcW w:type="dxa" w:w="2160"/>
          </w:tcPr>
          <w:p>
            <w:r>
              <w:t>19 Oct</w:t>
            </w:r>
          </w:p>
        </w:tc>
        <w:tc>
          <w:tcPr>
            <w:tcW w:type="dxa" w:w="2160"/>
          </w:tcPr>
          <w:p>
            <w:r>
              <w:t>02 Nov</w:t>
            </w:r>
          </w:p>
        </w:tc>
      </w:tr>
      <w:tr>
        <w:tc>
          <w:tcPr>
            <w:tcW w:type="dxa" w:w="2160"/>
          </w:tcPr>
          <w:p>
            <w:r>
              <w:t>Blocked</w:t>
            </w:r>
          </w:p>
        </w:tc>
        <w:tc>
          <w:tcPr>
            <w:tcW w:type="dxa" w:w="2160"/>
          </w:tcPr>
          <w:p>
            <w:r>
              <w:t>Pilot</w:t>
            </w:r>
          </w:p>
        </w:tc>
        <w:tc>
          <w:tcPr>
            <w:tcW w:type="dxa" w:w="2160"/>
          </w:tcPr>
          <w:p>
            <w:r>
              <w:t>02 Nov</w:t>
            </w:r>
          </w:p>
        </w:tc>
        <w:tc>
          <w:tcPr>
            <w:tcW w:type="dxa" w:w="2160"/>
          </w:tcPr>
          <w:p>
            <w:r>
              <w:t>07 Nov</w:t>
            </w:r>
          </w:p>
        </w:tc>
      </w:tr>
      <w:tr>
        <w:tc>
          <w:tcPr>
            <w:tcW w:type="dxa" w:w="2160"/>
          </w:tcPr>
          <w:p>
            <w:r>
              <w:t>Blocked</w:t>
            </w:r>
          </w:p>
        </w:tc>
        <w:tc>
          <w:tcPr>
            <w:tcW w:type="dxa" w:w="2160"/>
          </w:tcPr>
          <w:p>
            <w:r>
              <w:t>Cutover</w:t>
            </w:r>
          </w:p>
        </w:tc>
        <w:tc>
          <w:tcPr>
            <w:tcW w:type="dxa" w:w="2160"/>
          </w:tcPr>
          <w:p>
            <w:r>
              <w:t>07 Nov</w:t>
            </w:r>
          </w:p>
        </w:tc>
        <w:tc>
          <w:tcPr>
            <w:tcW w:type="dxa" w:w="2160"/>
          </w:tcPr>
          <w:p>
            <w:r>
              <w:t>08 Nov</w:t>
            </w:r>
          </w:p>
        </w:tc>
      </w:tr>
      <w:tr>
        <w:tc>
          <w:tcPr>
            <w:tcW w:type="dxa" w:w="2160"/>
          </w:tcPr>
          <w:p>
            <w:r>
              <w:t>Blocked</w:t>
            </w:r>
          </w:p>
        </w:tc>
        <w:tc>
          <w:tcPr>
            <w:tcW w:type="dxa" w:w="2160"/>
          </w:tcPr>
          <w:p>
            <w:r>
              <w:t>Hypercare, then remove from Okta</w:t>
            </w:r>
          </w:p>
        </w:tc>
        <w:tc>
          <w:tcPr>
            <w:tcW w:type="dxa" w:w="2160"/>
          </w:tcPr>
          <w:p>
            <w:r>
              <w:t>08 Nov</w:t>
            </w:r>
          </w:p>
        </w:tc>
        <w:tc>
          <w:tcPr>
            <w:tcW w:type="dxa" w:w="2160"/>
          </w:tcPr>
          <w:p>
            <w:r>
              <w:t>15 Nov</w:t>
            </w:r>
          </w:p>
        </w:tc>
      </w:tr>
    </w:tbl>
    <w:p/>
    <w:p>
      <w:pPr>
        <w:pStyle w:val="Heading1"/>
      </w:pPr>
      <w:r>
        <w:t>Decisions needed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Decision</w:t>
            </w:r>
          </w:p>
        </w:tc>
        <w:tc>
          <w:tcPr>
            <w:tcW w:type="dxa" w:w="1728"/>
          </w:tcPr>
          <w:p>
            <w:r>
              <w:t>Apps affected</w:t>
            </w:r>
          </w:p>
        </w:tc>
        <w:tc>
          <w:tcPr>
            <w:tcW w:type="dxa" w:w="1728"/>
          </w:tcPr>
          <w:p>
            <w:r>
              <w:t>Unblocks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  <w:tc>
          <w:tcPr>
            <w:tcW w:type="dxa" w:w="1728"/>
          </w:tcPr>
          <w:p>
            <w:r>
              <w:t>Options</w:t>
            </w:r>
          </w:p>
        </w:tc>
      </w:tr>
      <w:tr>
        <w:tc>
          <w:tcPr>
            <w:tcW w:type="dxa" w:w="1728"/>
          </w:tcPr>
          <w:p>
            <w:r>
              <w:t>Allow OGNL expressions in PingFederate?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Security + IAM lead</w:t>
            </w:r>
          </w:p>
        </w:tc>
        <w:tc>
          <w:tcPr>
            <w:tcW w:type="dxa" w:w="1728"/>
          </w:tcPr>
          <w:p>
            <w:r>
              <w:t>Allow OGNL (reviewed, documented expressions) / No OGNL: pre-compute values in the directory</w:t>
            </w:r>
          </w:p>
        </w:tc>
      </w:tr>
      <w:tr>
        <w:tc>
          <w:tcPr>
            <w:tcW w:type="dxa" w:w="1728"/>
          </w:tcPr>
          <w:p>
            <w:r>
              <w:t>How to handle apps that share one SP entity ID?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App owners</w:t>
            </w:r>
          </w:p>
        </w:tc>
        <w:tc>
          <w:tcPr>
            <w:tcW w:type="dxa" w:w="1728"/>
          </w:tcPr>
          <w:p>
            <w:r>
              <w:t>Change the non-production SP's entity ID / Decommission the duplicate (e.g. unused UAT) / Use one connection for both</w:t>
            </w:r>
          </w:p>
        </w:tc>
      </w:tr>
      <w:tr>
        <w:tc>
          <w:tcPr>
            <w:tcW w:type="dxa" w:w="1728"/>
          </w:tcPr>
          <w:p>
            <w:r>
              <w:t>Apps keyed on the Okta user ID: copy IDs or re-link?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IAM lead + App owner</w:t>
            </w:r>
          </w:p>
        </w:tc>
        <w:tc>
          <w:tcPr>
            <w:tcW w:type="dxa" w:w="1728"/>
          </w:tcPr>
          <w:p>
            <w:r>
              <w:t>Copy Okta user IDs into a directory attribute / Vendor re-links accounts / Decommission the app</w:t>
            </w:r>
          </w:p>
        </w:tc>
      </w:tr>
      <w:tr>
        <w:tc>
          <w:tcPr>
            <w:tcW w:type="dxa" w:w="1728"/>
          </w:tcPr>
          <w:p>
            <w:r>
              <w:t>Okta-only groups: recreate in the directory or replace?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Directory team</w:t>
            </w:r>
          </w:p>
        </w:tc>
        <w:tc>
          <w:tcPr>
            <w:tcW w:type="dxa" w:w="1728"/>
          </w:tcPr>
          <w:p>
            <w:r>
              <w:t>Create in the directory and sync membership / Replace with existing directory groups</w:t>
            </w:r>
          </w:p>
        </w:tc>
      </w:tr>
      <w:tr>
        <w:tc>
          <w:tcPr>
            <w:tcW w:type="dxa" w:w="1728"/>
          </w:tcPr>
          <w:p>
            <w:r>
              <w:t>Decommission unused / unassigned apps instead of migrating?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Service owner</w:t>
            </w:r>
          </w:p>
        </w:tc>
        <w:tc>
          <w:tcPr>
            <w:tcW w:type="dxa" w:w="1728"/>
          </w:tcPr>
          <w:p>
            <w:r>
              <w:t>Decommission after owner confirmation / Migrate anyway</w:t>
            </w:r>
          </w:p>
        </w:tc>
      </w:tr>
      <w:tr>
        <w:tc>
          <w:tcPr>
            <w:tcW w:type="dxa" w:w="1728"/>
          </w:tcPr>
          <w:p>
            <w:r>
              <w:t>Where do app-specific attributes live after Okta?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Directory team</w:t>
            </w:r>
          </w:p>
        </w:tc>
        <w:tc>
          <w:tcPr>
            <w:tcW w:type="dxa" w:w="1728"/>
          </w:tcPr>
          <w:p>
            <w:r>
              <w:t>Directory attributes (e.g. extensionAttributeN) / Derive from group membership</w:t>
            </w:r>
          </w:p>
        </w:tc>
      </w:tr>
      <w:tr>
        <w:tc>
          <w:tcPr>
            <w:tcW w:type="dxa" w:w="1728"/>
          </w:tcPr>
          <w:p>
            <w:r>
              <w:t>Move implicit-grant OIDC apps to code + PKCE during migration?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App owners</w:t>
            </w:r>
          </w:p>
        </w:tc>
        <w:tc>
          <w:tcPr>
            <w:tcW w:type="dxa" w:w="1728"/>
          </w:tcPr>
          <w:p>
            <w:r>
              <w:t>Yes, modernise during migration / No, keep implicit for now</w:t>
            </w:r>
          </w:p>
        </w:tc>
      </w:tr>
      <w:tr>
        <w:tc>
          <w:tcPr>
            <w:tcW w:type="dxa" w:w="1728"/>
          </w:tcPr>
          <w:p>
            <w:r>
              <w:t>How are new OIDC client secrets delivered to app teams?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Security</w:t>
            </w:r>
          </w:p>
        </w:tc>
        <w:tc>
          <w:tcPr>
            <w:tcW w:type="dxa" w:w="1728"/>
          </w:tcPr>
          <w:p>
            <w:r>
              <w:t>Secrets vault hand-off / Direct secure hand-off at cutover</w:t>
            </w:r>
          </w:p>
        </w:tc>
      </w:tr>
    </w:tbl>
    <w:p/>
    <w:p>
      <w:pPr>
        <w:pStyle w:val="Heading1"/>
      </w:pPr>
      <w:r>
        <w:t>Key risks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Risk</w:t>
            </w:r>
          </w:p>
        </w:tc>
        <w:tc>
          <w:tcPr>
            <w:tcW w:type="dxa" w:w="2880"/>
          </w:tcPr>
          <w:p>
            <w:r>
              <w:t>Severity</w:t>
            </w:r>
          </w:p>
        </w:tc>
        <w:tc>
          <w:tcPr>
            <w:tcW w:type="dxa" w:w="2880"/>
          </w:tcPr>
          <w:p>
            <w:r>
              <w:t>Applications</w:t>
            </w:r>
          </w:p>
        </w:tc>
      </w:tr>
      <w:tr>
        <w:tc>
          <w:tcPr>
            <w:tcW w:type="dxa" w:w="2880"/>
          </w:tcPr>
          <w:p>
            <w:r>
              <w:t>Claim Needs Ognl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Engineering Wiki (Confluence DC), HR Analytics (Tableau)</w:t>
            </w:r>
          </w:p>
        </w:tc>
      </w:tr>
      <w:tr>
        <w:tc>
          <w:tcPr>
            <w:tcW w:type="dxa" w:w="2880"/>
          </w:tcPr>
          <w:p>
            <w:r>
              <w:t>SP settings not visible in Okta (catalog apps): vendor metadata needed</w:t>
            </w:r>
          </w:p>
        </w:tc>
        <w:tc>
          <w:tcPr>
            <w:tcW w:type="dxa" w:w="2880"/>
          </w:tcPr>
          <w:p>
            <w:r>
              <w:t>Warning</w:t>
            </w:r>
          </w:p>
        </w:tc>
        <w:tc>
          <w:tcPr>
            <w:tcW w:type="dxa" w:w="2880"/>
          </w:tcPr>
          <w:p>
            <w:r>
              <w:t>ServiceNow, Salesforce</w:t>
            </w:r>
          </w:p>
        </w:tc>
      </w:tr>
    </w:tbl>
    <w:p/>
    <w:p>
      <w:pPr>
        <w:pStyle w:val="Heading1"/>
      </w:pPr>
      <w:r>
        <w:t>Directory preparation</w:t>
      </w:r>
    </w:p>
    <w:p>
      <w:r>
        <w:t>6 Okta-only group(s) to create, 1 value(s) with no directory source.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Group</w:t>
            </w:r>
          </w:p>
        </w:tc>
        <w:tc>
          <w:tcPr>
            <w:tcW w:type="dxa" w:w="4320"/>
          </w:tcPr>
          <w:p>
            <w:r>
              <w:t>Used by</w:t>
            </w:r>
          </w:p>
        </w:tc>
      </w:tr>
      <w:tr>
        <w:tc>
          <w:tcPr>
            <w:tcW w:type="dxa" w:w="4320"/>
          </w:tcPr>
          <w:p>
            <w:r>
              <w:t>ENG-Contractors</w:t>
            </w:r>
          </w:p>
        </w:tc>
        <w:tc>
          <w:tcPr>
            <w:tcW w:type="dxa" w:w="4320"/>
          </w:tcPr>
          <w:p>
            <w:r>
              <w:t>Engineering Wiki (Confluence DC)</w:t>
            </w:r>
          </w:p>
        </w:tc>
      </w:tr>
      <w:tr>
        <w:tc>
          <w:tcPr>
            <w:tcW w:type="dxa" w:w="4320"/>
          </w:tcPr>
          <w:p>
            <w:r>
              <w:t>Finance</w:t>
            </w:r>
          </w:p>
        </w:tc>
        <w:tc>
          <w:tcPr>
            <w:tcW w:type="dxa" w:w="4320"/>
          </w:tcPr>
          <w:p>
            <w:r>
              <w:t>Mobile Expenses</w:t>
            </w:r>
          </w:p>
        </w:tc>
      </w:tr>
      <w:tr>
        <w:tc>
          <w:tcPr>
            <w:tcW w:type="dxa" w:w="4320"/>
          </w:tcPr>
          <w:p>
            <w:r>
              <w:t>HR-Analysts</w:t>
            </w:r>
          </w:p>
        </w:tc>
        <w:tc>
          <w:tcPr>
            <w:tcW w:type="dxa" w:w="4320"/>
          </w:tcPr>
          <w:p>
            <w:r>
              <w:t>HR Analytics (Tableau)</w:t>
            </w:r>
          </w:p>
        </w:tc>
      </w:tr>
      <w:tr>
        <w:tc>
          <w:tcPr>
            <w:tcW w:type="dxa" w:w="4320"/>
          </w:tcPr>
          <w:p>
            <w:r>
              <w:t>SN-Approvers</w:t>
            </w:r>
          </w:p>
        </w:tc>
        <w:tc>
          <w:tcPr>
            <w:tcW w:type="dxa" w:w="4320"/>
          </w:tcPr>
          <w:p>
            <w:r>
              <w:t>ServiceNow</w:t>
            </w:r>
          </w:p>
        </w:tc>
      </w:tr>
      <w:tr>
        <w:tc>
          <w:tcPr>
            <w:tcW w:type="dxa" w:w="4320"/>
          </w:tcPr>
          <w:p>
            <w:r>
              <w:t>SN-ITIL</w:t>
            </w:r>
          </w:p>
        </w:tc>
        <w:tc>
          <w:tcPr>
            <w:tcW w:type="dxa" w:w="4320"/>
          </w:tcPr>
          <w:p>
            <w:r>
              <w:t>ServiceNow</w:t>
            </w:r>
          </w:p>
        </w:tc>
      </w:tr>
      <w:tr>
        <w:tc>
          <w:tcPr>
            <w:tcW w:type="dxa" w:w="4320"/>
          </w:tcPr>
          <w:p>
            <w:r>
              <w:t>Sales</w:t>
            </w:r>
          </w:p>
        </w:tc>
        <w:tc>
          <w:tcPr>
            <w:tcW w:type="dxa" w:w="4320"/>
          </w:tcPr>
          <w:p>
            <w:r>
              <w:t>Salesforce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Okta value</w:t>
            </w:r>
          </w:p>
        </w:tc>
        <w:tc>
          <w:tcPr>
            <w:tcW w:type="dxa" w:w="4320"/>
          </w:tcPr>
          <w:p>
            <w:r>
              <w:t>Used by</w:t>
            </w:r>
          </w:p>
        </w:tc>
      </w:tr>
      <w:tr>
        <w:tc>
          <w:tcPr>
            <w:tcW w:type="dxa" w:w="4320"/>
          </w:tcPr>
          <w:p>
            <w:r>
              <w:t>appuser.costCenter</w:t>
            </w:r>
          </w:p>
        </w:tc>
        <w:tc>
          <w:tcPr>
            <w:tcW w:type="dxa" w:w="4320"/>
          </w:tcPr>
          <w:p>
            <w:r>
              <w:t>HR Analytics (Tableau)</w:t>
            </w:r>
          </w:p>
        </w:tc>
      </w:tr>
    </w:tbl>
    <w:p/>
    <w:p>
      <w:pPr>
        <w:pStyle w:val="Heading1"/>
      </w:pPr>
      <w:r>
        <w:t>Next steps (two weeks)</w:t>
      </w:r>
    </w:p>
    <w:p>
      <w:pPr>
        <w:pStyle w:val="ListNumber"/>
      </w:pPr>
      <w:r>
        <w:t>Decide: Allow OGNL expressions in PingFederate? (owner: Security + IAM lead; affects 2 app(s)).</w:t>
      </w:r>
    </w:p>
    <w:p>
      <w:pPr>
        <w:pStyle w:val="ListNumber"/>
      </w:pPr>
      <w:r>
        <w:t>Decide: How to handle apps that share one SP entity ID? (owner: App owners; affects 2 app(s)).</w:t>
      </w:r>
    </w:p>
    <w:p>
      <w:pPr>
        <w:pStyle w:val="ListNumber"/>
      </w:pPr>
      <w:r>
        <w:t>Decide: Apps keyed on the Okta user ID: copy IDs or re-link? (owner: IAM lead + App owner; affects 1 app(s)).</w:t>
      </w:r>
    </w:p>
    <w:p>
      <w:pPr>
        <w:pStyle w:val="ListNumber"/>
      </w:pPr>
      <w:r>
        <w:t>Confirm decommissioning with owners of: Expense Portal (UAT), Legacy Intranet SPA, Legacy Travel Booking.</w:t>
      </w:r>
    </w:p>
    <w:p>
      <w:pPr>
        <w:pStyle w:val="ListNumber"/>
      </w:pPr>
      <w:r>
        <w:t>Send the app-owner pack for Wave 1 and book pilot users and change windows.</w:t>
      </w:r>
    </w:p>
    <w:p>
      <w:pPr>
        <w:pStyle w:val="ListNumber"/>
      </w:pPr>
      <w:r>
        <w:t>Directory team: create 6 group(s) and add missing attributes.</w:t>
      </w:r>
    </w:p>
    <w:p>
      <w:pPr>
        <w:pStyle w:val="ListNumber"/>
      </w:pPr>
      <w:r>
        <w:t>Request SP metadata from vendors of: ServiceNow, Salesforce.</w:t>
      </w:r>
    </w:p>
    <w:p>
      <w:pPr>
        <w:pStyle w:val="ListNumber"/>
      </w:pPr>
      <w:r>
        <w:t>Export the PingFederate build package for the first wave and review it with the PingFederate admins.</w:t>
      </w:r>
    </w:p>
    <w:p>
      <w:pPr>
        <w:jc w:val="left"/>
      </w:pPr>
      <w:r>
        <w:rPr>
          <w:i/>
        </w:rPr>
        <w:t>Figures come from automated discovery of Okta and deterministic rules; dates are planning estimates based on the stated assumptions.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2A4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2A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2A4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