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 participating in this form, you acknowledge and confirm that the code you have submitted is entirely your own creation, encompassing the underlying logic, algorithms, and implementation intricacies.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event that you have integrated code snippets, libraries, or external resources during the development phase, not solely authored by yourself, it is obligatory to furnish proper attribution within this form. This entails providing an all-encompassing catalog of references and corresponding links to the sources from which you have drawn inspiration or borrowed code. Examples of these sources may include videos, tutorials, blogs, articles, or responses from the StackOverflow community, as well as ideas inspired by reference applications, among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it is acceptable to draw from existing code or seek inspiration, it is of paramount importance to give due credit to the original sources. Failure to provide adequate attributions will be regarded as plagiarism, a matter that is strictly prohibited and frowned upon.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compliance with the code attribution is fundamental to ensuring complete transparency and preserving the integrity of this hackathon. This practice fosters a climate of respect for intellectual property and cultivates a culture of collaboration while upholding the essence of originality in coding.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