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Charged Ahead: Benchmarking India's EV Transition Against Global Adoption Patterns (2024–2026)</w:t>
      </w:r>
    </w:p>
    <w:p>
      <w:pPr>
        <w:spacing w:after="400"/>
      </w:pPr>
      <w:r>
        <w:rPr>
          <w:i/>
          <w:iCs/>
          <w:sz w:val="24"/>
          <w:szCs w:val="24"/>
        </w:rPr>
        <w:t xml:space="preserve">Review 1 — Literature Review, Data Collection &amp; Metadata</w:t>
      </w:r>
    </w:p>
    <w:p>
      <w:pPr>
        <w:pStyle w:val="Heading1"/>
        <w:spacing w:after="150" w:before="300"/>
      </w:pPr>
      <w:r>
        <w:t xml:space="preserve">1. Literature Review</w:t>
      </w:r>
    </w:p>
    <w:p>
      <w:pPr>
        <w:pStyle w:val="Heading2"/>
        <w:spacing w:after="100" w:before="200"/>
      </w:pPr>
      <w:r>
        <w:t xml:space="preserve">1.1 Global EV Adoption Landscape</w:t>
      </w:r>
    </w:p>
    <w:p>
      <w:pPr>
        <w:spacing w:after="160"/>
        <w:jc w:val="both"/>
      </w:pPr>
      <w:r>
        <w:t xml:space="preserve">Annual tracking by the International Energy Agency shows electric car sales are on course to pass 20 million units in 2025, making up roughly a quarter of all new car sales worldwide, with growth concentrated in China, Europe, and a fast-emerging set of developing markets. China and Europe have converged in the share of fully battery-electric vehicles within their EV mix, with Europe edging slightly ahead by the end of 2025, while Norway continues to lead globally with more than a third of its entire car fleet already electric.</w:t>
      </w:r>
    </w:p>
    <w:p>
      <w:pPr>
        <w:spacing w:after="160"/>
        <w:jc w:val="both"/>
      </w:pPr>
      <w:r>
        <w:t xml:space="preserve">Growth is no longer confined to established markets. Electric car sales across developing economies in Asia, Latin America, and Africa rose sharply in 2024, with their combined sales share nearly doubling, a trend the IEA attributes to supportive policy and the arrival of lower-cost EV models from Chinese manufacturers. This affordability channel — Chinese-made or Chinese-brand EVs entering price-sensitive markets — recurs as a theme across almost every regional chapter of the 2025 and 2026 Outlooks.</w:t>
      </w:r>
    </w:p>
    <w:p>
      <w:pPr>
        <w:pStyle w:val="Heading2"/>
        <w:spacing w:after="100" w:before="200"/>
      </w:pPr>
      <w:r>
        <w:t xml:space="preserve">1.2 India's Distinct Adoption Pattern</w:t>
      </w:r>
    </w:p>
    <w:p>
      <w:pPr>
        <w:spacing w:after="160"/>
        <w:jc w:val="both"/>
      </w:pPr>
      <w:r>
        <w:t xml:space="preserve">India's EV story diverges sharply from the passenger-car-led narrative common in China, Europe, and the US. IEA reporting notes that electric car sales in India remain a small share of the market (around 2% in 2024), even as overall electric-car volumes in the wider Asian region excluding China grew over 40% year-on-year. The real story in India is two- and three-wheelers: roughly 1.3 million electric two-wheelers were sold in 2023 alone, and India accounted for close to 60% of all electric three-wheelers sold globally that year, a segment lifted substantially by the FAME-II subsidy scheme.</w:t>
      </w:r>
    </w:p>
    <w:p>
      <w:pPr>
        <w:spacing w:after="160"/>
        <w:jc w:val="both"/>
      </w:pPr>
      <w:r>
        <w:t xml:space="preserve">This suggests India is not simply a 'delayed' version of the Chinese or European adoption curve — it is following a structurally different, affordability- and daily-commute-driven path centered on low-cost micro-mobility rather than passenger cars. This is the central comparative hypothesis this project tests.</w:t>
      </w:r>
    </w:p>
    <w:p>
      <w:pPr>
        <w:pStyle w:val="Heading2"/>
        <w:spacing w:after="100" w:before="200"/>
      </w:pPr>
      <w:r>
        <w:t xml:space="preserve">1.3 Policy as a Demand Lever</w:t>
      </w:r>
    </w:p>
    <w:p>
      <w:pPr>
        <w:spacing w:after="160"/>
        <w:jc w:val="both"/>
      </w:pPr>
      <w:r>
        <w:t xml:space="preserve">Across every market studied, government policy shows up as a visible driver of short-term demand swings rather than a background factor. In the United States, the expiry of the federal EV tax credit at the end of September 2025 was followed by a sharp falloff in sales — new electric car sales in Q4 2025 came in roughly 45% below the same quarter a year earlier, even after incentive-driven front-loading of purchases ahead of the deadline. China's export and manufacturing incentives have had the opposite effect, helping the country overtake the European Union as the largest car exporter and pushing electric vehicles to more than a third of its total car exports in 2025.</w:t>
      </w:r>
    </w:p>
    <w:p>
      <w:pPr>
        <w:spacing w:after="160"/>
        <w:jc w:val="both"/>
      </w:pPr>
      <w:r>
        <w:t xml:space="preserve">Norway's decades-long tax-exemption model and India's FAME-II/PM E-DRIVE subsidy structure represent two more distinct policy archetypes worth contrasting: one sustained and broad-based, the other segment-targeted (skewed toward 2W/3W) and periodically revised.</w:t>
      </w:r>
    </w:p>
    <w:p>
      <w:pPr>
        <w:pStyle w:val="Heading2"/>
        <w:spacing w:after="100" w:before="200"/>
      </w:pPr>
      <w:r>
        <w:t xml:space="preserve">1.4 Infrastructure and Price as Constraints</w:t>
      </w:r>
    </w:p>
    <w:p>
      <w:pPr>
        <w:spacing w:after="160"/>
        <w:jc w:val="both"/>
      </w:pPr>
      <w:r>
        <w:t xml:space="preserve">Charging infrastructure buildout and vehicle price remain recurring constraints cited across IEA chapters, particularly for countries earlier in their adoption curve. In China, roughly two-thirds of electric cars sold in 2024 were priced below their conventional equivalents even before purchase incentives — a price-parity milestone India and most other markets have not yet reached for four-wheelers, though it already broadly holds for India's electric two- and three-wheelers versus their petrol equivalents.</w:t>
      </w:r>
    </w:p>
    <w:p>
      <w:pPr>
        <w:pStyle w:val="Heading2"/>
        <w:spacing w:after="100" w:before="200"/>
      </w:pPr>
      <w:r>
        <w:t xml:space="preserve">1.5 Gap This Project Addresses</w:t>
      </w:r>
    </w:p>
    <w:p>
      <w:pPr>
        <w:spacing w:after="160"/>
        <w:jc w:val="both"/>
      </w:pPr>
      <w:r>
        <w:t xml:space="preserve">Existing public reporting (IEA Global EV Outlook, national industry associations) provides strong country-level and sometimes state/province-level aggregate figures, but rarely a single harmonized dataset spanning multiple countries, vehicle categories, and sub-national regions on a common monthly schema. This project builds such a harmonized structure — calibrated to the real trends documented above — to enable direct EDA-based comparison of adoption speed, category mix, and policy sensitivity across India, China, the USA, Norway, Germany, and the UK.</w:t>
      </w:r>
    </w:p>
    <w:p>
      <w:pPr>
        <w:pStyle w:val="Heading1"/>
        <w:spacing w:after="150" w:before="300"/>
      </w:pPr>
      <w:r>
        <w:t xml:space="preserve">2. Data Collection</w:t>
      </w:r>
    </w:p>
    <w:p>
      <w:pPr>
        <w:spacing w:after="160"/>
        <w:jc w:val="both"/>
      </w:pPr>
      <w:r>
        <w:t xml:space="preserve">A record-level dataset of 10,304 cleaned monthly observations was compiled, spanning January 2024 to August 2026 across six countries and their sub-national regions (states, provinces, or counties), broken down by EV vehicle category.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00"/>
        <w:gridCol w:w="2000"/>
      </w:tblGrid>
      <w:tr>
        <w:tc>
          <w:tcPr>
            <w:tcW w:type="dxa" w:w="2200"/>
            <w:shd w:fill="1F4E78" w:val="clear"/>
          </w:tcPr>
          <w:p>
            <w:r>
              <w:rPr>
                <w:b/>
                <w:bCs/>
                <w:color w:val="FFFFFF"/>
                <w:sz w:val="20"/>
                <w:szCs w:val="20"/>
              </w:rPr>
              <w:t xml:space="preserve">Country</w:t>
            </w:r>
          </w:p>
        </w:tc>
        <w:tc>
          <w:tcPr>
            <w:tcW w:type="dxa" w:w="3200"/>
            <w:shd w:fill="1F4E78" w:val="clear"/>
          </w:tcPr>
          <w:p>
            <w:r>
              <w:rPr>
                <w:b/>
                <w:bCs/>
                <w:color w:val="FFFFFF"/>
                <w:sz w:val="20"/>
                <w:szCs w:val="20"/>
              </w:rPr>
              <w:t xml:space="preserve">Regions covered</w:t>
            </w:r>
          </w:p>
        </w:tc>
        <w:tc>
          <w:tcPr>
            <w:tcW w:type="dxa" w:w="3200"/>
            <w:shd w:fill="1F4E78" w:val="clear"/>
          </w:tcPr>
          <w:p>
            <w:r>
              <w:rPr>
                <w:b/>
                <w:bCs/>
                <w:color w:val="FFFFFF"/>
                <w:sz w:val="20"/>
                <w:szCs w:val="20"/>
              </w:rPr>
              <w:t xml:space="preserve">Categories</w:t>
            </w:r>
          </w:p>
        </w:tc>
        <w:tc>
          <w:tcPr>
            <w:tcW w:type="dxa" w:w="2000"/>
            <w:shd w:fill="1F4E78" w:val="clear"/>
          </w:tcPr>
          <w:p>
            <w:r>
              <w:rPr>
                <w:b/>
                <w:bCs/>
                <w:color w:val="FFFFFF"/>
                <w:sz w:val="20"/>
                <w:szCs w:val="20"/>
              </w:rPr>
              <w:t xml:space="preserve">Records (approx.)</w:t>
            </w:r>
          </w:p>
        </w:tc>
      </w:tr>
      <w:tr>
        <w:tc>
          <w:tcPr>
            <w:tcW w:type="dxa" w:w="2200"/>
          </w:tcPr>
          <w:p>
            <w:r>
              <w:rPr>
                <w:b w:val="false"/>
                <w:bCs w:val="false"/>
                <w:color w:val="000000"/>
                <w:sz w:val="20"/>
                <w:szCs w:val="20"/>
              </w:rPr>
              <w:t xml:space="preserve">India</w:t>
            </w:r>
          </w:p>
        </w:tc>
        <w:tc>
          <w:tcPr>
            <w:tcW w:type="dxa" w:w="3200"/>
          </w:tcPr>
          <w:p>
            <w:r>
              <w:rPr>
                <w:b w:val="false"/>
                <w:bCs w:val="false"/>
                <w:color w:val="000000"/>
                <w:sz w:val="20"/>
                <w:szCs w:val="20"/>
              </w:rPr>
              <w:t xml:space="preserve">36 states/UTs</w:t>
            </w:r>
          </w:p>
        </w:tc>
        <w:tc>
          <w:tcPr>
            <w:tcW w:type="dxa" w:w="3200"/>
          </w:tcPr>
          <w:p>
            <w:r>
              <w:rPr>
                <w:b w:val="false"/>
                <w:bCs w:val="false"/>
                <w:color w:val="000000"/>
                <w:sz w:val="20"/>
                <w:szCs w:val="20"/>
              </w:rPr>
              <w:t xml:space="preserve">2-Wheeler, 3-Wheeler, 4-Wheeler, Bus</w:t>
            </w:r>
          </w:p>
        </w:tc>
        <w:tc>
          <w:tcPr>
            <w:tcW w:type="dxa" w:w="2000"/>
          </w:tcPr>
          <w:p>
            <w:r>
              <w:rPr>
                <w:b w:val="false"/>
                <w:bCs w:val="false"/>
                <w:color w:val="000000"/>
                <w:sz w:val="20"/>
                <w:szCs w:val="20"/>
              </w:rPr>
              <w:t xml:space="preserve">4,608</w:t>
            </w:r>
          </w:p>
        </w:tc>
      </w:tr>
      <w:tr>
        <w:tc>
          <w:tcPr>
            <w:tcW w:type="dxa" w:w="2200"/>
          </w:tcPr>
          <w:p>
            <w:r>
              <w:rPr>
                <w:b w:val="false"/>
                <w:bCs w:val="false"/>
                <w:color w:val="000000"/>
                <w:sz w:val="20"/>
                <w:szCs w:val="20"/>
              </w:rPr>
              <w:t xml:space="preserve">China</w:t>
            </w:r>
          </w:p>
        </w:tc>
        <w:tc>
          <w:tcPr>
            <w:tcW w:type="dxa" w:w="3200"/>
          </w:tcPr>
          <w:p>
            <w:r>
              <w:rPr>
                <w:b w:val="false"/>
                <w:bCs w:val="false"/>
                <w:color w:val="000000"/>
                <w:sz w:val="20"/>
                <w:szCs w:val="20"/>
              </w:rPr>
              <w:t xml:space="preserve">31 provinces</w:t>
            </w:r>
          </w:p>
        </w:tc>
        <w:tc>
          <w:tcPr>
            <w:tcW w:type="dxa" w:w="3200"/>
          </w:tcPr>
          <w:p>
            <w:r>
              <w:rPr>
                <w:b w:val="false"/>
                <w:bCs w:val="false"/>
                <w:color w:val="000000"/>
                <w:sz w:val="20"/>
                <w:szCs w:val="20"/>
              </w:rPr>
              <w:t xml:space="preserve">4-Wheeler, Bus</w:t>
            </w:r>
          </w:p>
        </w:tc>
        <w:tc>
          <w:tcPr>
            <w:tcW w:type="dxa" w:w="2000"/>
          </w:tcPr>
          <w:p>
            <w:r>
              <w:rPr>
                <w:b w:val="false"/>
                <w:bCs w:val="false"/>
                <w:color w:val="000000"/>
                <w:sz w:val="20"/>
                <w:szCs w:val="20"/>
              </w:rPr>
              <w:t xml:space="preserve">1,984</w:t>
            </w:r>
          </w:p>
        </w:tc>
      </w:tr>
      <w:tr>
        <w:tc>
          <w:tcPr>
            <w:tcW w:type="dxa" w:w="2200"/>
          </w:tcPr>
          <w:p>
            <w:r>
              <w:rPr>
                <w:b w:val="false"/>
                <w:bCs w:val="false"/>
                <w:color w:val="000000"/>
                <w:sz w:val="20"/>
                <w:szCs w:val="20"/>
              </w:rPr>
              <w:t xml:space="preserve">USA</w:t>
            </w:r>
          </w:p>
        </w:tc>
        <w:tc>
          <w:tcPr>
            <w:tcW w:type="dxa" w:w="3200"/>
          </w:tcPr>
          <w:p>
            <w:r>
              <w:rPr>
                <w:b w:val="false"/>
                <w:bCs w:val="false"/>
                <w:color w:val="000000"/>
                <w:sz w:val="20"/>
                <w:szCs w:val="20"/>
              </w:rPr>
              <w:t xml:space="preserve">50 states</w:t>
            </w:r>
          </w:p>
        </w:tc>
        <w:tc>
          <w:tcPr>
            <w:tcW w:type="dxa" w:w="3200"/>
          </w:tcPr>
          <w:p>
            <w:r>
              <w:rPr>
                <w:b w:val="false"/>
                <w:bCs w:val="false"/>
                <w:color w:val="000000"/>
                <w:sz w:val="20"/>
                <w:szCs w:val="20"/>
              </w:rPr>
              <w:t xml:space="preserve">4-Wheeler</w:t>
            </w:r>
          </w:p>
        </w:tc>
        <w:tc>
          <w:tcPr>
            <w:tcW w:type="dxa" w:w="2000"/>
          </w:tcPr>
          <w:p>
            <w:r>
              <w:rPr>
                <w:b w:val="false"/>
                <w:bCs w:val="false"/>
                <w:color w:val="000000"/>
                <w:sz w:val="20"/>
                <w:szCs w:val="20"/>
              </w:rPr>
              <w:t xml:space="preserve">1,600</w:t>
            </w:r>
          </w:p>
        </w:tc>
      </w:tr>
      <w:tr>
        <w:tc>
          <w:tcPr>
            <w:tcW w:type="dxa" w:w="2200"/>
          </w:tcPr>
          <w:p>
            <w:r>
              <w:rPr>
                <w:b w:val="false"/>
                <w:bCs w:val="false"/>
                <w:color w:val="000000"/>
                <w:sz w:val="20"/>
                <w:szCs w:val="20"/>
              </w:rPr>
              <w:t xml:space="preserve">Norway</w:t>
            </w:r>
          </w:p>
        </w:tc>
        <w:tc>
          <w:tcPr>
            <w:tcW w:type="dxa" w:w="3200"/>
          </w:tcPr>
          <w:p>
            <w:r>
              <w:rPr>
                <w:b w:val="false"/>
                <w:bCs w:val="false"/>
                <w:color w:val="000000"/>
                <w:sz w:val="20"/>
                <w:szCs w:val="20"/>
              </w:rPr>
              <w:t xml:space="preserve">11 counties</w:t>
            </w:r>
          </w:p>
        </w:tc>
        <w:tc>
          <w:tcPr>
            <w:tcW w:type="dxa" w:w="3200"/>
          </w:tcPr>
          <w:p>
            <w:r>
              <w:rPr>
                <w:b w:val="false"/>
                <w:bCs w:val="false"/>
                <w:color w:val="000000"/>
                <w:sz w:val="20"/>
                <w:szCs w:val="20"/>
              </w:rPr>
              <w:t xml:space="preserve">4-Wheeler, 2-Wheeler</w:t>
            </w:r>
          </w:p>
        </w:tc>
        <w:tc>
          <w:tcPr>
            <w:tcW w:type="dxa" w:w="2000"/>
          </w:tcPr>
          <w:p>
            <w:r>
              <w:rPr>
                <w:b w:val="false"/>
                <w:bCs w:val="false"/>
                <w:color w:val="000000"/>
                <w:sz w:val="20"/>
                <w:szCs w:val="20"/>
              </w:rPr>
              <w:t xml:space="preserve">704</w:t>
            </w:r>
          </w:p>
        </w:tc>
      </w:tr>
      <w:tr>
        <w:tc>
          <w:tcPr>
            <w:tcW w:type="dxa" w:w="2200"/>
          </w:tcPr>
          <w:p>
            <w:r>
              <w:rPr>
                <w:b w:val="false"/>
                <w:bCs w:val="false"/>
                <w:color w:val="000000"/>
                <w:sz w:val="20"/>
                <w:szCs w:val="20"/>
              </w:rPr>
              <w:t xml:space="preserve">Germany</w:t>
            </w:r>
          </w:p>
        </w:tc>
        <w:tc>
          <w:tcPr>
            <w:tcW w:type="dxa" w:w="3200"/>
          </w:tcPr>
          <w:p>
            <w:r>
              <w:rPr>
                <w:b w:val="false"/>
                <w:bCs w:val="false"/>
                <w:color w:val="000000"/>
                <w:sz w:val="20"/>
                <w:szCs w:val="20"/>
              </w:rPr>
              <w:t xml:space="preserve">16 states</w:t>
            </w:r>
          </w:p>
        </w:tc>
        <w:tc>
          <w:tcPr>
            <w:tcW w:type="dxa" w:w="3200"/>
          </w:tcPr>
          <w:p>
            <w:r>
              <w:rPr>
                <w:b w:val="false"/>
                <w:bCs w:val="false"/>
                <w:color w:val="000000"/>
                <w:sz w:val="20"/>
                <w:szCs w:val="20"/>
              </w:rPr>
              <w:t xml:space="preserve">4-Wheeler, Bus</w:t>
            </w:r>
          </w:p>
        </w:tc>
        <w:tc>
          <w:tcPr>
            <w:tcW w:type="dxa" w:w="2000"/>
          </w:tcPr>
          <w:p>
            <w:r>
              <w:rPr>
                <w:b w:val="false"/>
                <w:bCs w:val="false"/>
                <w:color w:val="000000"/>
                <w:sz w:val="20"/>
                <w:szCs w:val="20"/>
              </w:rPr>
              <w:t xml:space="preserve">1,024</w:t>
            </w:r>
          </w:p>
        </w:tc>
      </w:tr>
      <w:tr>
        <w:tc>
          <w:tcPr>
            <w:tcW w:type="dxa" w:w="2200"/>
          </w:tcPr>
          <w:p>
            <w:r>
              <w:rPr>
                <w:b w:val="false"/>
                <w:bCs w:val="false"/>
                <w:color w:val="000000"/>
                <w:sz w:val="20"/>
                <w:szCs w:val="20"/>
              </w:rPr>
              <w:t xml:space="preserve">UK</w:t>
            </w:r>
          </w:p>
        </w:tc>
        <w:tc>
          <w:tcPr>
            <w:tcW w:type="dxa" w:w="3200"/>
          </w:tcPr>
          <w:p>
            <w:r>
              <w:rPr>
                <w:b w:val="false"/>
                <w:bCs w:val="false"/>
                <w:color w:val="000000"/>
                <w:sz w:val="20"/>
                <w:szCs w:val="20"/>
              </w:rPr>
              <w:t xml:space="preserve">12 regions</w:t>
            </w:r>
          </w:p>
        </w:tc>
        <w:tc>
          <w:tcPr>
            <w:tcW w:type="dxa" w:w="3200"/>
          </w:tcPr>
          <w:p>
            <w:r>
              <w:rPr>
                <w:b w:val="false"/>
                <w:bCs w:val="false"/>
                <w:color w:val="000000"/>
                <w:sz w:val="20"/>
                <w:szCs w:val="20"/>
              </w:rPr>
              <w:t xml:space="preserve">4-Wheeler</w:t>
            </w:r>
          </w:p>
        </w:tc>
        <w:tc>
          <w:tcPr>
            <w:tcW w:type="dxa" w:w="2000"/>
          </w:tcPr>
          <w:p>
            <w:r>
              <w:rPr>
                <w:b w:val="false"/>
                <w:bCs w:val="false"/>
                <w:color w:val="000000"/>
                <w:sz w:val="20"/>
                <w:szCs w:val="20"/>
              </w:rPr>
              <w:t xml:space="preserve">384</w:t>
            </w:r>
          </w:p>
        </w:tc>
      </w:tr>
    </w:tbl>
    <w:p>
      <w:pPr>
        <w:spacing w:after="200"/>
      </w:pPr>
    </w:p>
    <w:p>
      <w:pPr>
        <w:spacing w:after="160"/>
        <w:jc w:val="both"/>
      </w:pPr>
      <w:r>
        <w:t xml:space="preserve">Country- and category-level trend lines (penetration growth rate, the India 2W/3W skew, Norway's near-saturation, and the US post-subsidy dip) were calibrated against the sources below. Regional (state/province) disaggregation is simulated for coursework purposes, since no single free source publishes record-level regional data across all six countries on a common schema — this is stated explicitly in the dataset's metadata sheet rather than presented as official regional data.</w:t>
      </w:r>
    </w:p>
    <w:p>
      <w:pPr>
        <w:pStyle w:val="Heading2"/>
        <w:spacing w:after="100" w:before="200"/>
      </w:pPr>
      <w:r>
        <w:t xml:space="preserve">2.1 Sources Referenced for Calibration</w:t>
      </w:r>
    </w:p>
    <w:p>
      <w:pPr>
        <w:pStyle w:val="ListParagraph"/>
        <w:numPr>
          <w:ilvl w:val="0"/>
          <w:numId w:val="1"/>
        </w:numPr>
        <w:spacing w:after="80"/>
      </w:pPr>
      <w:r>
        <w:t xml:space="preserve">IEA, Global EV Outlook 2024 — "Moving towards increased affordability"</w:t>
      </w:r>
    </w:p>
    <w:p>
      <w:pPr>
        <w:pStyle w:val="ListParagraph"/>
        <w:numPr>
          <w:ilvl w:val="0"/>
          <w:numId w:val="1"/>
        </w:numPr>
        <w:spacing w:after="80"/>
      </w:pPr>
      <w:r>
        <w:t xml:space="preserve">IEA, Global EV Outlook 2025 — "Expanding sales in diverse markets"</w:t>
      </w:r>
    </w:p>
    <w:p>
      <w:pPr>
        <w:pStyle w:val="ListParagraph"/>
        <w:numPr>
          <w:ilvl w:val="0"/>
          <w:numId w:val="1"/>
        </w:numPr>
        <w:spacing w:after="80"/>
      </w:pPr>
      <w:r>
        <w:t xml:space="preserve">IEA, Global EV Outlook 2026 — "Growing sales amid an energy crisis"</w:t>
      </w:r>
    </w:p>
    <w:p>
      <w:pPr>
        <w:pStyle w:val="ListParagraph"/>
        <w:numPr>
          <w:ilvl w:val="0"/>
          <w:numId w:val="1"/>
        </w:numPr>
        <w:spacing w:after="80"/>
      </w:pPr>
      <w:r>
        <w:t xml:space="preserve">India Vahan Dashboard, Ministry of Road Transport &amp; Highways (state/category registration structure)</w:t>
      </w:r>
    </w:p>
    <w:p>
      <w:pPr>
        <w:pStyle w:val="ListParagraph"/>
        <w:numPr>
          <w:ilvl w:val="0"/>
          <w:numId w:val="1"/>
        </w:numPr>
        <w:spacing w:after="80"/>
      </w:pPr>
      <w:r>
        <w:t xml:space="preserve">China Association of Automobile Manufacturers (CAAM) reporting conventions</w:t>
      </w:r>
    </w:p>
    <w:p>
      <w:pPr>
        <w:pStyle w:val="ListParagraph"/>
        <w:numPr>
          <w:ilvl w:val="0"/>
          <w:numId w:val="1"/>
        </w:numPr>
        <w:spacing w:after="80"/>
      </w:pPr>
      <w:r>
        <w:t xml:space="preserve">Norway EV Association (elbil.no) market share reporting</w:t>
      </w:r>
    </w:p>
    <w:p>
      <w:pPr>
        <w:pStyle w:val="ListParagraph"/>
        <w:numPr>
          <w:ilvl w:val="0"/>
          <w:numId w:val="1"/>
        </w:numPr>
        <w:spacing w:after="80"/>
      </w:pPr>
      <w:r>
        <w:t xml:space="preserve">FAME-II / PM E-DRIVE scheme documentation (Government of India)</w:t>
      </w:r>
    </w:p>
    <w:p>
      <w:pPr>
        <w:pStyle w:val="Heading1"/>
        <w:spacing w:after="150" w:before="300"/>
      </w:pPr>
      <w:r>
        <w:t xml:space="preserve">3. Data Cleaning Summary</w:t>
      </w:r>
    </w:p>
    <w:p>
      <w:pPr>
        <w:spacing w:after="160"/>
        <w:jc w:val="both"/>
      </w:pPr>
      <w:r>
        <w:t xml:space="preserve">The raw compiled dataset (10,459 records) contained realistic data-quality issues introduced to mirror what a multi-source merge typically produces: inconsistent country name casing, duplicate records from overlapping source files, missing values in price/infrastructure/penetration fields, a small number of sign-entry errors, mixed date formats, and a handful of outlier readings. The table below summarizes the cleaning pipeline applied (full step-by-step log is included as a sheet in the accompanying workbook).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00"/>
      </w:tblGrid>
      <w:tr>
        <w:tc>
          <w:tcPr>
            <w:tcW w:type="dxa" w:w="3200"/>
            <w:shd w:fill="1F4E78" w:val="clear"/>
          </w:tcPr>
          <w:p>
            <w:r>
              <w:rPr>
                <w:b/>
                <w:bCs/>
                <w:color w:val="FFFFFF"/>
                <w:sz w:val="20"/>
                <w:szCs w:val="20"/>
              </w:rPr>
              <w:t xml:space="preserve">Issue</w:t>
            </w:r>
          </w:p>
        </w:tc>
        <w:tc>
          <w:tcPr>
            <w:tcW w:type="dxa" w:w="4200"/>
            <w:shd w:fill="1F4E78" w:val="clear"/>
          </w:tcPr>
          <w:p>
            <w:r>
              <w:rPr>
                <w:b/>
                <w:bCs/>
                <w:color w:val="FFFFFF"/>
                <w:sz w:val="20"/>
                <w:szCs w:val="20"/>
              </w:rPr>
              <w:t xml:space="preserve">Cleaning Action</w:t>
            </w:r>
          </w:p>
        </w:tc>
        <w:tc>
          <w:tcPr>
            <w:tcW w:type="dxa" w:w="1600"/>
            <w:shd w:fill="1F4E78" w:val="clear"/>
          </w:tcPr>
          <w:p>
            <w:r>
              <w:rPr>
                <w:b/>
                <w:bCs/>
                <w:color w:val="FFFFFF"/>
                <w:sz w:val="20"/>
                <w:szCs w:val="20"/>
              </w:rPr>
              <w:t xml:space="preserve">Records Affected</w:t>
            </w:r>
          </w:p>
        </w:tc>
      </w:tr>
      <w:tr>
        <w:tc>
          <w:tcPr>
            <w:tcW w:type="dxa" w:w="3200"/>
          </w:tcPr>
          <w:p>
            <w:r>
              <w:rPr>
                <w:b w:val="false"/>
                <w:bCs w:val="false"/>
                <w:color w:val="000000"/>
                <w:sz w:val="20"/>
                <w:szCs w:val="20"/>
              </w:rPr>
              <w:t xml:space="preserve">Inconsistent country casing/naming</w:t>
            </w:r>
          </w:p>
        </w:tc>
        <w:tc>
          <w:tcPr>
            <w:tcW w:type="dxa" w:w="4200"/>
          </w:tcPr>
          <w:p>
            <w:r>
              <w:rPr>
                <w:b w:val="false"/>
                <w:bCs w:val="false"/>
                <w:color w:val="000000"/>
                <w:sz w:val="20"/>
                <w:szCs w:val="20"/>
              </w:rPr>
              <w:t xml:space="preserve">Standardized to title case; merged 'United States' into 'USA'</w:t>
            </w:r>
          </w:p>
        </w:tc>
        <w:tc>
          <w:tcPr>
            <w:tcW w:type="dxa" w:w="1600"/>
          </w:tcPr>
          <w:p>
            <w:r>
              <w:rPr>
                <w:b w:val="false"/>
                <w:bCs w:val="false"/>
                <w:color w:val="000000"/>
                <w:sz w:val="20"/>
                <w:szCs w:val="20"/>
              </w:rPr>
              <w:t xml:space="preserve">~310</w:t>
            </w:r>
          </w:p>
        </w:tc>
      </w:tr>
      <w:tr>
        <w:tc>
          <w:tcPr>
            <w:tcW w:type="dxa" w:w="3200"/>
          </w:tcPr>
          <w:p>
            <w:r>
              <w:rPr>
                <w:b w:val="false"/>
                <w:bCs w:val="false"/>
                <w:color w:val="000000"/>
                <w:sz w:val="20"/>
                <w:szCs w:val="20"/>
              </w:rPr>
              <w:t xml:space="preserve">Whitespace/typos in category field</w:t>
            </w:r>
          </w:p>
        </w:tc>
        <w:tc>
          <w:tcPr>
            <w:tcW w:type="dxa" w:w="4200"/>
          </w:tcPr>
          <w:p>
            <w:r>
              <w:rPr>
                <w:b w:val="false"/>
                <w:bCs w:val="false"/>
                <w:color w:val="000000"/>
                <w:sz w:val="20"/>
                <w:szCs w:val="20"/>
              </w:rPr>
              <w:t xml:space="preserve">Stripped leading/trailing whitespace</w:t>
            </w:r>
          </w:p>
        </w:tc>
        <w:tc>
          <w:tcPr>
            <w:tcW w:type="dxa" w:w="1600"/>
          </w:tcPr>
          <w:p>
            <w:r>
              <w:rPr>
                <w:b w:val="false"/>
                <w:bCs w:val="false"/>
                <w:color w:val="000000"/>
                <w:sz w:val="20"/>
                <w:szCs w:val="20"/>
              </w:rPr>
              <w:t xml:space="preserve">~103</w:t>
            </w:r>
          </w:p>
        </w:tc>
      </w:tr>
      <w:tr>
        <w:tc>
          <w:tcPr>
            <w:tcW w:type="dxa" w:w="3200"/>
          </w:tcPr>
          <w:p>
            <w:r>
              <w:rPr>
                <w:b w:val="false"/>
                <w:bCs w:val="false"/>
                <w:color w:val="000000"/>
                <w:sz w:val="20"/>
                <w:szCs w:val="20"/>
              </w:rPr>
              <w:t xml:space="preserve">Mixed date formats</w:t>
            </w:r>
          </w:p>
        </w:tc>
        <w:tc>
          <w:tcPr>
            <w:tcW w:type="dxa" w:w="4200"/>
          </w:tcPr>
          <w:p>
            <w:r>
              <w:rPr>
                <w:b w:val="false"/>
                <w:bCs w:val="false"/>
                <w:color w:val="000000"/>
                <w:sz w:val="20"/>
                <w:szCs w:val="20"/>
              </w:rPr>
              <w:t xml:space="preserve">Parsed both ISO and DD/MM/YYYY into a single datetime column</w:t>
            </w:r>
          </w:p>
        </w:tc>
        <w:tc>
          <w:tcPr>
            <w:tcW w:type="dxa" w:w="1600"/>
          </w:tcPr>
          <w:p>
            <w:r>
              <w:rPr>
                <w:b w:val="false"/>
                <w:bCs w:val="false"/>
                <w:color w:val="000000"/>
                <w:sz w:val="20"/>
                <w:szCs w:val="20"/>
              </w:rPr>
              <w:t xml:space="preserve">~206</w:t>
            </w:r>
          </w:p>
        </w:tc>
      </w:tr>
      <w:tr>
        <w:tc>
          <w:tcPr>
            <w:tcW w:type="dxa" w:w="3200"/>
          </w:tcPr>
          <w:p>
            <w:r>
              <w:rPr>
                <w:b w:val="false"/>
                <w:bCs w:val="false"/>
                <w:color w:val="000000"/>
                <w:sz w:val="20"/>
                <w:szCs w:val="20"/>
              </w:rPr>
              <w:t xml:space="preserve">Duplicate records</w:t>
            </w:r>
          </w:p>
        </w:tc>
        <w:tc>
          <w:tcPr>
            <w:tcW w:type="dxa" w:w="4200"/>
          </w:tcPr>
          <w:p>
            <w:r>
              <w:rPr>
                <w:b w:val="false"/>
                <w:bCs w:val="false"/>
                <w:color w:val="000000"/>
                <w:sz w:val="20"/>
                <w:szCs w:val="20"/>
              </w:rPr>
              <w:t xml:space="preserve">Dropped exact duplicates on country-region-date-category key</w:t>
            </w:r>
          </w:p>
        </w:tc>
        <w:tc>
          <w:tcPr>
            <w:tcW w:type="dxa" w:w="1600"/>
          </w:tcPr>
          <w:p>
            <w:r>
              <w:rPr>
                <w:b w:val="false"/>
                <w:bCs w:val="false"/>
                <w:color w:val="000000"/>
                <w:sz w:val="20"/>
                <w:szCs w:val="20"/>
              </w:rPr>
              <w:t xml:space="preserve">155</w:t>
            </w:r>
          </w:p>
        </w:tc>
      </w:tr>
      <w:tr>
        <w:tc>
          <w:tcPr>
            <w:tcW w:type="dxa" w:w="3200"/>
          </w:tcPr>
          <w:p>
            <w:r>
              <w:rPr>
                <w:b w:val="false"/>
                <w:bCs w:val="false"/>
                <w:color w:val="000000"/>
                <w:sz w:val="20"/>
                <w:szCs w:val="20"/>
              </w:rPr>
              <w:t xml:space="preserve">Negative unit values</w:t>
            </w:r>
          </w:p>
        </w:tc>
        <w:tc>
          <w:tcPr>
            <w:tcW w:type="dxa" w:w="4200"/>
          </w:tcPr>
          <w:p>
            <w:r>
              <w:rPr>
                <w:b w:val="false"/>
                <w:bCs w:val="false"/>
                <w:color w:val="000000"/>
                <w:sz w:val="20"/>
                <w:szCs w:val="20"/>
              </w:rPr>
              <w:t xml:space="preserve">Corrected sign-entry errors via absolute value</w:t>
            </w:r>
          </w:p>
        </w:tc>
        <w:tc>
          <w:tcPr>
            <w:tcW w:type="dxa" w:w="1600"/>
          </w:tcPr>
          <w:p>
            <w:r>
              <w:rPr>
                <w:b w:val="false"/>
                <w:bCs w:val="false"/>
                <w:color w:val="000000"/>
                <w:sz w:val="20"/>
                <w:szCs w:val="20"/>
              </w:rPr>
              <w:t xml:space="preserve">51</w:t>
            </w:r>
          </w:p>
        </w:tc>
      </w:tr>
      <w:tr>
        <w:tc>
          <w:tcPr>
            <w:tcW w:type="dxa" w:w="3200"/>
          </w:tcPr>
          <w:p>
            <w:r>
              <w:rPr>
                <w:b w:val="false"/>
                <w:bCs w:val="false"/>
                <w:color w:val="000000"/>
                <w:sz w:val="20"/>
                <w:szCs w:val="20"/>
              </w:rPr>
              <w:t xml:space="preserve">Outlier penetration values (&gt;1.5×IQR)</w:t>
            </w:r>
          </w:p>
        </w:tc>
        <w:tc>
          <w:tcPr>
            <w:tcW w:type="dxa" w:w="4200"/>
          </w:tcPr>
          <w:p>
            <w:r>
              <w:rPr>
                <w:b w:val="false"/>
                <w:bCs w:val="false"/>
                <w:color w:val="000000"/>
                <w:sz w:val="20"/>
                <w:szCs w:val="20"/>
              </w:rPr>
              <w:t xml:space="preserve">Flagged as missing rather than silently retained</w:t>
            </w:r>
          </w:p>
        </w:tc>
        <w:tc>
          <w:tcPr>
            <w:tcW w:type="dxa" w:w="1600"/>
          </w:tcPr>
          <w:p>
            <w:r>
              <w:rPr>
                <w:b w:val="false"/>
                <w:bCs w:val="false"/>
                <w:color w:val="000000"/>
                <w:sz w:val="20"/>
                <w:szCs w:val="20"/>
              </w:rPr>
              <w:t xml:space="preserve">20</w:t>
            </w:r>
          </w:p>
        </w:tc>
      </w:tr>
      <w:tr>
        <w:tc>
          <w:tcPr>
            <w:tcW w:type="dxa" w:w="3200"/>
          </w:tcPr>
          <w:p>
            <w:r>
              <w:rPr>
                <w:b w:val="false"/>
                <w:bCs w:val="false"/>
                <w:color w:val="000000"/>
                <w:sz w:val="20"/>
                <w:szCs w:val="20"/>
              </w:rPr>
              <w:t xml:space="preserve">Missing values (3 numeric fields)</w:t>
            </w:r>
          </w:p>
        </w:tc>
        <w:tc>
          <w:tcPr>
            <w:tcW w:type="dxa" w:w="4200"/>
          </w:tcPr>
          <w:p>
            <w:r>
              <w:rPr>
                <w:b w:val="false"/>
                <w:bCs w:val="false"/>
                <w:color w:val="000000"/>
                <w:sz w:val="20"/>
                <w:szCs w:val="20"/>
              </w:rPr>
              <w:t xml:space="preserve">Imputed using country + category group median</w:t>
            </w:r>
          </w:p>
        </w:tc>
        <w:tc>
          <w:tcPr>
            <w:tcW w:type="dxa" w:w="1600"/>
          </w:tcPr>
          <w:p>
            <w:r>
              <w:rPr>
                <w:b w:val="false"/>
                <w:bCs w:val="false"/>
                <w:color w:val="000000"/>
                <w:sz w:val="20"/>
                <w:szCs w:val="20"/>
              </w:rPr>
              <w:t xml:space="preserve">~794 cells</w:t>
            </w:r>
          </w:p>
        </w:tc>
      </w:tr>
      <w:tr>
        <w:tc>
          <w:tcPr>
            <w:tcW w:type="dxa" w:w="3200"/>
          </w:tcPr>
          <w:p>
            <w:r>
              <w:rPr>
                <w:b w:val="false"/>
                <w:bCs w:val="false"/>
                <w:color w:val="000000"/>
                <w:sz w:val="20"/>
                <w:szCs w:val="20"/>
              </w:rPr>
              <w:t xml:space="preserve">Logical inconsistency (EV units &gt; total sales)</w:t>
            </w:r>
          </w:p>
        </w:tc>
        <w:tc>
          <w:tcPr>
            <w:tcW w:type="dxa" w:w="4200"/>
          </w:tcPr>
          <w:p>
            <w:r>
              <w:rPr>
                <w:b w:val="false"/>
                <w:bCs w:val="false"/>
                <w:color w:val="000000"/>
                <w:sz w:val="20"/>
                <w:szCs w:val="20"/>
              </w:rPr>
              <w:t xml:space="preserve">Capped EV units at total new vehicle sales</w:t>
            </w:r>
          </w:p>
        </w:tc>
        <w:tc>
          <w:tcPr>
            <w:tcW w:type="dxa" w:w="1600"/>
          </w:tcPr>
          <w:p>
            <w:r>
              <w:rPr>
                <w:b w:val="false"/>
                <w:bCs w:val="false"/>
                <w:color w:val="000000"/>
                <w:sz w:val="20"/>
                <w:szCs w:val="20"/>
              </w:rPr>
              <w:t xml:space="preserve">2</w:t>
            </w:r>
          </w:p>
        </w:tc>
      </w:tr>
    </w:tbl>
    <w:p>
      <w:pPr>
        <w:spacing w:after="200"/>
      </w:pPr>
    </w:p>
    <w:p>
      <w:pPr>
        <w:spacing w:after="160"/>
        <w:jc w:val="both"/>
      </w:pPr>
      <w:r>
        <w:t xml:space="preserve">Post-cleaning, the dataset has zero missing values and passes internal consistency checks (EV units never exceed total new vehicle sales; penetration percentages fall within plausible bounds).</w:t>
      </w:r>
    </w:p>
    <w:p>
      <w:pPr>
        <w:pStyle w:val="Heading1"/>
        <w:spacing w:after="150" w:before="300"/>
      </w:pPr>
      <w:r>
        <w:t xml:space="preserve">4. Metadata Dictionary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600"/>
      </w:tblGrid>
      <w:tr>
        <w:tc>
          <w:tcPr>
            <w:tcW w:type="dxa" w:w="2400"/>
            <w:shd w:fill="1F4E78" w:val="clear"/>
          </w:tcPr>
          <w:p>
            <w:r>
              <w:rPr>
                <w:b/>
                <w:bCs/>
                <w:color w:val="FFFFFF"/>
                <w:sz w:val="20"/>
                <w:szCs w:val="20"/>
              </w:rPr>
              <w:t xml:space="preserve">Field</w:t>
            </w:r>
          </w:p>
        </w:tc>
        <w:tc>
          <w:tcPr>
            <w:tcW w:type="dxa" w:w="5000"/>
            <w:shd w:fill="1F4E78" w:val="clear"/>
          </w:tcPr>
          <w:p>
            <w:r>
              <w:rPr>
                <w:b/>
                <w:bCs/>
                <w:color w:val="FFFFFF"/>
                <w:sz w:val="20"/>
                <w:szCs w:val="20"/>
              </w:rPr>
              <w:t xml:space="preserve">Description</w:t>
            </w:r>
          </w:p>
        </w:tc>
        <w:tc>
          <w:tcPr>
            <w:tcW w:type="dxa" w:w="1600"/>
            <w:shd w:fill="1F4E78" w:val="clear"/>
          </w:tcPr>
          <w:p>
            <w:r>
              <w:rPr>
                <w:b/>
                <w:bCs/>
                <w:color w:val="FFFFFF"/>
                <w:sz w:val="20"/>
                <w:szCs w:val="20"/>
              </w:rPr>
              <w:t xml:space="preserve">Type</w:t>
            </w:r>
          </w:p>
        </w:tc>
      </w:tr>
      <w:tr>
        <w:tc>
          <w:tcPr>
            <w:tcW w:type="dxa" w:w="2400"/>
          </w:tcPr>
          <w:p>
            <w:r>
              <w:rPr>
                <w:b w:val="false"/>
                <w:bCs w:val="false"/>
                <w:color w:val="000000"/>
                <w:sz w:val="20"/>
                <w:szCs w:val="20"/>
              </w:rPr>
              <w:t xml:space="preserve">country</w:t>
            </w:r>
          </w:p>
        </w:tc>
        <w:tc>
          <w:tcPr>
            <w:tcW w:type="dxa" w:w="5000"/>
          </w:tcPr>
          <w:p>
            <w:r>
              <w:rPr>
                <w:b w:val="false"/>
                <w:bCs w:val="false"/>
                <w:color w:val="000000"/>
                <w:sz w:val="20"/>
                <w:szCs w:val="20"/>
              </w:rPr>
              <w:t xml:space="preserve">Country of vehicle registration</w:t>
            </w:r>
          </w:p>
        </w:tc>
        <w:tc>
          <w:tcPr>
            <w:tcW w:type="dxa" w:w="1600"/>
          </w:tcPr>
          <w:p>
            <w:r>
              <w:rPr>
                <w:b w:val="false"/>
                <w:bCs w:val="false"/>
                <w:color w:val="000000"/>
                <w:sz w:val="20"/>
                <w:szCs w:val="20"/>
              </w:rPr>
              <w:t xml:space="preserve">Text</w:t>
            </w:r>
          </w:p>
        </w:tc>
      </w:tr>
      <w:tr>
        <w:tc>
          <w:tcPr>
            <w:tcW w:type="dxa" w:w="2400"/>
          </w:tcPr>
          <w:p>
            <w:r>
              <w:rPr>
                <w:b w:val="false"/>
                <w:bCs w:val="false"/>
                <w:color w:val="000000"/>
                <w:sz w:val="20"/>
                <w:szCs w:val="20"/>
              </w:rPr>
              <w:t xml:space="preserve">region</w:t>
            </w:r>
          </w:p>
        </w:tc>
        <w:tc>
          <w:tcPr>
            <w:tcW w:type="dxa" w:w="5000"/>
          </w:tcPr>
          <w:p>
            <w:r>
              <w:rPr>
                <w:b w:val="false"/>
                <w:bCs w:val="false"/>
                <w:color w:val="000000"/>
                <w:sz w:val="20"/>
                <w:szCs w:val="20"/>
              </w:rPr>
              <w:t xml:space="preserve">State / province / county</w:t>
            </w:r>
          </w:p>
        </w:tc>
        <w:tc>
          <w:tcPr>
            <w:tcW w:type="dxa" w:w="1600"/>
          </w:tcPr>
          <w:p>
            <w:r>
              <w:rPr>
                <w:b w:val="false"/>
                <w:bCs w:val="false"/>
                <w:color w:val="000000"/>
                <w:sz w:val="20"/>
                <w:szCs w:val="20"/>
              </w:rPr>
              <w:t xml:space="preserve">Text</w:t>
            </w:r>
          </w:p>
        </w:tc>
      </w:tr>
      <w:tr>
        <w:tc>
          <w:tcPr>
            <w:tcW w:type="dxa" w:w="2400"/>
          </w:tcPr>
          <w:p>
            <w:r>
              <w:rPr>
                <w:b w:val="false"/>
                <w:bCs w:val="false"/>
                <w:color w:val="000000"/>
                <w:sz w:val="20"/>
                <w:szCs w:val="20"/>
              </w:rPr>
              <w:t xml:space="preserve">date</w:t>
            </w:r>
          </w:p>
        </w:tc>
        <w:tc>
          <w:tcPr>
            <w:tcW w:type="dxa" w:w="5000"/>
          </w:tcPr>
          <w:p>
            <w:r>
              <w:rPr>
                <w:b w:val="false"/>
                <w:bCs w:val="false"/>
                <w:color w:val="000000"/>
                <w:sz w:val="20"/>
                <w:szCs w:val="20"/>
              </w:rPr>
              <w:t xml:space="preserve">First day of reporting month</w:t>
            </w:r>
          </w:p>
        </w:tc>
        <w:tc>
          <w:tcPr>
            <w:tcW w:type="dxa" w:w="1600"/>
          </w:tcPr>
          <w:p>
            <w:r>
              <w:rPr>
                <w:b w:val="false"/>
                <w:bCs w:val="false"/>
                <w:color w:val="000000"/>
                <w:sz w:val="20"/>
                <w:szCs w:val="20"/>
              </w:rPr>
              <w:t xml:space="preserve">Date</w:t>
            </w:r>
          </w:p>
        </w:tc>
      </w:tr>
      <w:tr>
        <w:tc>
          <w:tcPr>
            <w:tcW w:type="dxa" w:w="2400"/>
          </w:tcPr>
          <w:p>
            <w:r>
              <w:rPr>
                <w:b w:val="false"/>
                <w:bCs w:val="false"/>
                <w:color w:val="000000"/>
                <w:sz w:val="20"/>
                <w:szCs w:val="20"/>
              </w:rPr>
              <w:t xml:space="preserve">vehicle_category</w:t>
            </w:r>
          </w:p>
        </w:tc>
        <w:tc>
          <w:tcPr>
            <w:tcW w:type="dxa" w:w="5000"/>
          </w:tcPr>
          <w:p>
            <w:r>
              <w:rPr>
                <w:b w:val="false"/>
                <w:bCs w:val="false"/>
                <w:color w:val="000000"/>
                <w:sz w:val="20"/>
                <w:szCs w:val="20"/>
              </w:rPr>
              <w:t xml:space="preserve">2-Wheeler / 3-Wheeler / 4-Wheeler / Bus</w:t>
            </w:r>
          </w:p>
        </w:tc>
        <w:tc>
          <w:tcPr>
            <w:tcW w:type="dxa" w:w="1600"/>
          </w:tcPr>
          <w:p>
            <w:r>
              <w:rPr>
                <w:b w:val="false"/>
                <w:bCs w:val="false"/>
                <w:color w:val="000000"/>
                <w:sz w:val="20"/>
                <w:szCs w:val="20"/>
              </w:rPr>
              <w:t xml:space="preserve">Text</w:t>
            </w:r>
          </w:p>
        </w:tc>
      </w:tr>
      <w:tr>
        <w:tc>
          <w:tcPr>
            <w:tcW w:type="dxa" w:w="2400"/>
          </w:tcPr>
          <w:p>
            <w:r>
              <w:rPr>
                <w:b w:val="false"/>
                <w:bCs w:val="false"/>
                <w:color w:val="000000"/>
                <w:sz w:val="20"/>
                <w:szCs w:val="20"/>
              </w:rPr>
              <w:t xml:space="preserve">total_new_vehicle_sales</w:t>
            </w:r>
          </w:p>
        </w:tc>
        <w:tc>
          <w:tcPr>
            <w:tcW w:type="dxa" w:w="5000"/>
          </w:tcPr>
          <w:p>
            <w:r>
              <w:rPr>
                <w:b w:val="false"/>
                <w:bCs w:val="false"/>
                <w:color w:val="000000"/>
                <w:sz w:val="20"/>
                <w:szCs w:val="20"/>
              </w:rPr>
              <w:t xml:space="preserve">All-fuel-type new vehicle sales</w:t>
            </w:r>
          </w:p>
        </w:tc>
        <w:tc>
          <w:tcPr>
            <w:tcW w:type="dxa" w:w="1600"/>
          </w:tcPr>
          <w:p>
            <w:r>
              <w:rPr>
                <w:b w:val="false"/>
                <w:bCs w:val="false"/>
                <w:color w:val="000000"/>
                <w:sz w:val="20"/>
                <w:szCs w:val="20"/>
              </w:rPr>
              <w:t xml:space="preserve">Integer</w:t>
            </w:r>
          </w:p>
        </w:tc>
      </w:tr>
      <w:tr>
        <w:tc>
          <w:tcPr>
            <w:tcW w:type="dxa" w:w="2400"/>
          </w:tcPr>
          <w:p>
            <w:r>
              <w:rPr>
                <w:b w:val="false"/>
                <w:bCs w:val="false"/>
                <w:color w:val="000000"/>
                <w:sz w:val="20"/>
                <w:szCs w:val="20"/>
              </w:rPr>
              <w:t xml:space="preserve">ev_units_sold</w:t>
            </w:r>
          </w:p>
        </w:tc>
        <w:tc>
          <w:tcPr>
            <w:tcW w:type="dxa" w:w="5000"/>
          </w:tcPr>
          <w:p>
            <w:r>
              <w:rPr>
                <w:b w:val="false"/>
                <w:bCs w:val="false"/>
                <w:color w:val="000000"/>
                <w:sz w:val="20"/>
                <w:szCs w:val="20"/>
              </w:rPr>
              <w:t xml:space="preserve">Electric vehicle units sold</w:t>
            </w:r>
          </w:p>
        </w:tc>
        <w:tc>
          <w:tcPr>
            <w:tcW w:type="dxa" w:w="1600"/>
          </w:tcPr>
          <w:p>
            <w:r>
              <w:rPr>
                <w:b w:val="false"/>
                <w:bCs w:val="false"/>
                <w:color w:val="000000"/>
                <w:sz w:val="20"/>
                <w:szCs w:val="20"/>
              </w:rPr>
              <w:t xml:space="preserve">Integer</w:t>
            </w:r>
          </w:p>
        </w:tc>
      </w:tr>
      <w:tr>
        <w:tc>
          <w:tcPr>
            <w:tcW w:type="dxa" w:w="2400"/>
          </w:tcPr>
          <w:p>
            <w:r>
              <w:rPr>
                <w:b w:val="false"/>
                <w:bCs w:val="false"/>
                <w:color w:val="000000"/>
                <w:sz w:val="20"/>
                <w:szCs w:val="20"/>
              </w:rPr>
              <w:t xml:space="preserve">ev_penetration_pct</w:t>
            </w:r>
          </w:p>
        </w:tc>
        <w:tc>
          <w:tcPr>
            <w:tcW w:type="dxa" w:w="5000"/>
          </w:tcPr>
          <w:p>
            <w:r>
              <w:rPr>
                <w:b w:val="false"/>
                <w:bCs w:val="false"/>
                <w:color w:val="000000"/>
                <w:sz w:val="20"/>
                <w:szCs w:val="20"/>
              </w:rPr>
              <w:t xml:space="preserve">EV share of new vehicle sales (%)</w:t>
            </w:r>
          </w:p>
        </w:tc>
        <w:tc>
          <w:tcPr>
            <w:tcW w:type="dxa" w:w="1600"/>
          </w:tcPr>
          <w:p>
            <w:r>
              <w:rPr>
                <w:b w:val="false"/>
                <w:bCs w:val="false"/>
                <w:color w:val="000000"/>
                <w:sz w:val="20"/>
                <w:szCs w:val="20"/>
              </w:rPr>
              <w:t xml:space="preserve">Float</w:t>
            </w:r>
          </w:p>
        </w:tc>
      </w:tr>
      <w:tr>
        <w:tc>
          <w:tcPr>
            <w:tcW w:type="dxa" w:w="2400"/>
          </w:tcPr>
          <w:p>
            <w:r>
              <w:rPr>
                <w:b w:val="false"/>
                <w:bCs w:val="false"/>
                <w:color w:val="000000"/>
                <w:sz w:val="20"/>
                <w:szCs w:val="20"/>
              </w:rPr>
              <w:t xml:space="preserve">charging_stations_cumulative</w:t>
            </w:r>
          </w:p>
        </w:tc>
        <w:tc>
          <w:tcPr>
            <w:tcW w:type="dxa" w:w="5000"/>
          </w:tcPr>
          <w:p>
            <w:r>
              <w:rPr>
                <w:b w:val="false"/>
                <w:bCs w:val="false"/>
                <w:color w:val="000000"/>
                <w:sz w:val="20"/>
                <w:szCs w:val="20"/>
              </w:rPr>
              <w:t xml:space="preserve">Cumulative public charging stations</w:t>
            </w:r>
          </w:p>
        </w:tc>
        <w:tc>
          <w:tcPr>
            <w:tcW w:type="dxa" w:w="1600"/>
          </w:tcPr>
          <w:p>
            <w:r>
              <w:rPr>
                <w:b w:val="false"/>
                <w:bCs w:val="false"/>
                <w:color w:val="000000"/>
                <w:sz w:val="20"/>
                <w:szCs w:val="20"/>
              </w:rPr>
              <w:t xml:space="preserve">Integer</w:t>
            </w:r>
          </w:p>
        </w:tc>
      </w:tr>
      <w:tr>
        <w:tc>
          <w:tcPr>
            <w:tcW w:type="dxa" w:w="2400"/>
          </w:tcPr>
          <w:p>
            <w:r>
              <w:rPr>
                <w:b w:val="false"/>
                <w:bCs w:val="false"/>
                <w:color w:val="000000"/>
                <w:sz w:val="20"/>
                <w:szCs w:val="20"/>
              </w:rPr>
              <w:t xml:space="preserve">avg_ev_price_usd</w:t>
            </w:r>
          </w:p>
        </w:tc>
        <w:tc>
          <w:tcPr>
            <w:tcW w:type="dxa" w:w="5000"/>
          </w:tcPr>
          <w:p>
            <w:r>
              <w:rPr>
                <w:b w:val="false"/>
                <w:bCs w:val="false"/>
                <w:color w:val="000000"/>
                <w:sz w:val="20"/>
                <w:szCs w:val="20"/>
              </w:rPr>
              <w:t xml:space="preserve">Average EV transaction price (USD)</w:t>
            </w:r>
          </w:p>
        </w:tc>
        <w:tc>
          <w:tcPr>
            <w:tcW w:type="dxa" w:w="1600"/>
          </w:tcPr>
          <w:p>
            <w:r>
              <w:rPr>
                <w:b w:val="false"/>
                <w:bCs w:val="false"/>
                <w:color w:val="000000"/>
                <w:sz w:val="20"/>
                <w:szCs w:val="20"/>
              </w:rPr>
              <w:t xml:space="preserve">Float</w:t>
            </w:r>
          </w:p>
        </w:tc>
      </w:tr>
      <w:tr>
        <w:tc>
          <w:tcPr>
            <w:tcW w:type="dxa" w:w="2400"/>
          </w:tcPr>
          <w:p>
            <w:r>
              <w:rPr>
                <w:b w:val="false"/>
                <w:bCs w:val="false"/>
                <w:color w:val="000000"/>
                <w:sz w:val="20"/>
                <w:szCs w:val="20"/>
              </w:rPr>
              <w:t xml:space="preserve">subsidy_active</w:t>
            </w:r>
          </w:p>
        </w:tc>
        <w:tc>
          <w:tcPr>
            <w:tcW w:type="dxa" w:w="5000"/>
          </w:tcPr>
          <w:p>
            <w:r>
              <w:rPr>
                <w:b w:val="false"/>
                <w:bCs w:val="false"/>
                <w:color w:val="000000"/>
                <w:sz w:val="20"/>
                <w:szCs w:val="20"/>
              </w:rPr>
              <w:t xml:space="preserve">National/state EV subsidy active that month</w:t>
            </w:r>
          </w:p>
        </w:tc>
        <w:tc>
          <w:tcPr>
            <w:tcW w:type="dxa" w:w="1600"/>
          </w:tcPr>
          <w:p>
            <w:r>
              <w:rPr>
                <w:b w:val="false"/>
                <w:bCs w:val="false"/>
                <w:color w:val="000000"/>
                <w:sz w:val="20"/>
                <w:szCs w:val="20"/>
              </w:rPr>
              <w:t xml:space="preserve">Boolean</w:t>
            </w:r>
          </w:p>
        </w:tc>
      </w:tr>
    </w:tbl>
    <w:p>
      <w:pPr>
        <w:spacing w:after="200"/>
      </w:pPr>
    </w:p>
    <w:p>
      <w:pPr>
        <w:spacing w:after="160"/>
        <w:jc w:val="both"/>
      </w:pPr>
      <w:r>
        <w:t xml:space="preserve">Full field-level dictionary, dataset notes, raw data, cleaned data, and the complete cleaning log are provided in the companion file EV_Adoption_Dataset.xlsx.</w:t>
      </w:r>
    </w:p>
    <w:p>
      <w:pPr>
        <w:pStyle w:val="Heading1"/>
        <w:spacing w:after="150" w:before="300"/>
      </w:pPr>
      <w:r>
        <w:t xml:space="preserve">5. References</w:t>
      </w:r>
    </w:p>
    <w:p>
      <w:pPr>
        <w:pStyle w:val="ListParagraph"/>
        <w:numPr>
          <w:ilvl w:val="0"/>
          <w:numId w:val="1"/>
        </w:numPr>
        <w:spacing w:after="80"/>
      </w:pPr>
      <w:r>
        <w:t xml:space="preserve">International Energy Agency (IEA). Global EV Outlook 2024. iea.org/reports/global-ev-outlook-2024</w:t>
      </w:r>
    </w:p>
    <w:p>
      <w:pPr>
        <w:pStyle w:val="ListParagraph"/>
        <w:numPr>
          <w:ilvl w:val="0"/>
          <w:numId w:val="1"/>
        </w:numPr>
        <w:spacing w:after="80"/>
      </w:pPr>
      <w:r>
        <w:t xml:space="preserve">International Energy Agency (IEA). Global EV Outlook 2025. iea.org/reports/global-ev-outlook-2025</w:t>
      </w:r>
    </w:p>
    <w:p>
      <w:pPr>
        <w:pStyle w:val="ListParagraph"/>
        <w:numPr>
          <w:ilvl w:val="0"/>
          <w:numId w:val="1"/>
        </w:numPr>
        <w:spacing w:after="80"/>
      </w:pPr>
      <w:r>
        <w:t xml:space="preserve">International Energy Agency (IEA). Global EV Outlook 2026. iea.org/reports/global-ev-outlook-2026</w:t>
      </w:r>
    </w:p>
    <w:p>
      <w:pPr>
        <w:pStyle w:val="ListParagraph"/>
        <w:numPr>
          <w:ilvl w:val="0"/>
          <w:numId w:val="1"/>
        </w:numPr>
        <w:spacing w:after="80"/>
      </w:pPr>
      <w:r>
        <w:t xml:space="preserve">Vahan Dashboard, Ministry of Road Transport &amp; Highways, Government of India. vahan.parivahan.gov.in</w:t>
      </w:r>
    </w:p>
    <w:p>
      <w:pPr>
        <w:pStyle w:val="ListParagraph"/>
        <w:numPr>
          <w:ilvl w:val="0"/>
          <w:numId w:val="1"/>
        </w:numPr>
        <w:spacing w:after="80"/>
      </w:pPr>
      <w:r>
        <w:t xml:space="preserve">Norway EV Association. elbil.no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2026-08-04T10:46:59.499Z</dcterms:created>
  <dcterms:modified xsi:type="dcterms:W3CDTF">2026-08-04T10:46:59.516Z</dcterms:modified>
</cp:coreProperties>
</file>

<file path=docProps/custom.xml><?xml version="1.0" encoding="utf-8"?>
<Properties xmlns="http://schemas.openxmlformats.org/officeDocument/2006/custom-properties" xmlns:vt="http://schemas.openxmlformats.org/officeDocument/2006/docPropsVTypes"/>
</file>