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Big Data-Driven Crime Behaviour Analysis and Case-Linkage Platform Using Spatio-Temporal and Modus Operandi Patterns</w:t>
      </w:r>
    </w:p>
    <w:p>
      <w:pPr>
        <w:jc w:val="center"/>
      </w:pPr>
      <w:r>
        <w:rPr>
          <w:b w:val="0"/>
          <w:i/>
          <w:sz w:val="28"/>
        </w:rPr>
        <w:t>The SANGAM Algorithm: A Comparative Synthesis for Indian Crime Forensics and Case Linkage</w:t>
      </w:r>
    </w:p>
    <w:p/>
    <w:p>
      <w:pPr>
        <w:jc w:val="center"/>
      </w:pPr>
      <w:r>
        <w:rPr>
          <w:b w:val="0"/>
          <w:i w:val="0"/>
          <w:sz w:val="24"/>
        </w:rPr>
        <w:t>Aditya Ankana</w:t>
      </w:r>
    </w:p>
    <w:p>
      <w:pPr>
        <w:jc w:val="center"/>
      </w:pPr>
      <w:r>
        <w:rPr>
          <w:b w:val="0"/>
          <w:i w:val="0"/>
          <w:sz w:val="22"/>
        </w:rPr>
        <w:t>Independent Research</w:t>
      </w:r>
    </w:p>
    <w:p/>
    <w:p>
      <w:r>
        <w:rPr>
          <w:b/>
          <w:i w:val="0"/>
        </w:rPr>
        <w:t>Abstract</w:t>
      </w:r>
    </w:p>
    <w:p>
      <w:r>
        <w:rPr>
          <w:b w:val="0"/>
          <w:i w:val="0"/>
          <w:sz w:val="21"/>
        </w:rPr>
        <w:t>Crimes-against-women and serial-offender case-linkage in India face two compounding data problems absent from most Western case-linkage literature: (i) NCRB/CCTNS crime statistics are aggregate, annual, and affected by well-documented reporting-behaviour shocks rather than clean incidence signals (Mathews et al., 2024), and (ii) individual FIR narratives are multilingual, inconsistently coded, and frequently incomplete, so a linkage algorithm that treats a missing modus-operandi (MO) field as a mismatch will systematically under-link genuine serial offences. This paper reports SANGAM ("confluence"), a two-engine platform - SANGAM-Risk for district-month regional risk forecasting and space-time cluster detection, and SANGAM-Link for individual case-pair linkage - built by comparatively auditing four independently developed prior prototypes of the same brief plus a verified 20-paper literature review, then re-implementing and correcting the strongest convergent ideas against real data. SANGAM-Risk is trained on the real NCRB district-year IPC panel (2001-2012, 822 districts, harmonized with Census 2011 covariates and a genuine queen-contiguity spatial graph built from district polygons, not an arbitrary k-NN graph); its gradient-boosted Poisson forecaster beats a naive persistence baseline on mean absolute error for all three evaluated crime categories (theft, burglary, dowry deaths) while its interpretable Negative-Binomial GLM remains competitive after a numerical-stability fix (log1p feature compression + ridge regularization) that is reported here as a cautionary methodological note for future NB-GLM crime-count models built on collinear multi-lag graph features. SANGAM-Link's case-pair ranker is evaluated on a purpose-built synthetic FIR benchmark under an offender-disjoint split and a geographically- and crime-family-hardened negative-sampling protocol; its ablation study reproduces, on synthetic data, the literature's own finding (Halford, 2023; Borg &amp; Svensson, 2022; Tonkin &amp; Woodhams, 2017) that geographic and temporal proximity dominate MO similarity as linkage discriminators, with a text-narrative-only ranker performing near chance. We report all results with the same honesty standard set by the strongest of the four prior prototypes: synthetic-benchmark numbers are clearly labelled as measuring recovery of a known generative process, not real-world accuracy, and a residual ceiling effect in the full linkage model (AUC &gt; 0.999 even under hardened negative sampling) is reported and explained rather than presented as a headline result.</w:t>
      </w:r>
    </w:p>
    <w:p>
      <w:r>
        <w:br w:type="page"/>
      </w:r>
    </w:p>
    <w:p>
      <w:pPr>
        <w:pStyle w:val="Heading1"/>
      </w:pPr>
      <w:r>
        <w:t>1. Introduction</w:t>
      </w:r>
    </w:p>
    <w:p>
      <w:r>
        <w:rPr>
          <w:b w:val="0"/>
          <w:i w:val="0"/>
        </w:rPr>
        <w:t>India's National Crime Records Bureau (NCRB) and the Crime and Criminal Tracking Network and Systems (CCTNS) generate one of the largest administrative crime datasets in the world, yet three structural features make it a poor direct substrate for the spatio-temporal forecasting and behavioural case-linkage methods developed primarily on UK, US, and Swedish police data. First, published NCRB tables are annual and district-level; no public monthly or incident-level series exists, so any sub-annual spatio-temporal model must explicitly model - and disclose - a synthetic disaggregation step. Second, crimes against women in particular are subject to large, well-documented reporting-behaviour shocks (for example the roughly seven-fold rise in some states' reported rape counts following the December 2012 Nirbhaya case; Mathews et al., 2024), so naive trend-fitting risks mistaking awareness and infrastructure shifts for genuine incidence change. Third, individual FIR narratives are multilingual (Hindi and regional languages, frequently code-mixed with English), inconsistently structured, and often incomplete, which breaks case-linkage methods that were validated on well-coded, single-language UK/US behavioural datasets.</w:t>
      </w:r>
    </w:p>
    <w:p>
      <w:r>
        <w:rPr>
          <w:b w:val="0"/>
          <w:i w:val="0"/>
        </w:rPr>
        <w:t>This project began from an unusual starting point: four independent large-language-model-built prototypes of the same brief - "Big Data-Driven Crime Behaviour Analysis and Case-Linkage Platform Using Spatio-Temporal and Modus Operandi Patterns" - already existed, built separately without cross-visibility into one another's design choices. Rather than starting a fifth implementation from a blank page, this paper's methodology is a systematic comparative audit of all four prototypes plus a verified 20-paper academic literature review, followed by a re-implementation, named SANGAM (Sanskrit/Hindi for confluence), that keeps every design choice at least two of the four prototypes converged on independently, fixes every concrete bug or numerical instability the audit found, and grounds every reported result in real NCRB/Census data plus a transparently-labelled synthetic case-linkage benchmark where no real individual-level Indian linkage dataset is publicly available.</w:t>
      </w:r>
    </w:p>
    <w:p>
      <w:pPr>
        <w:pStyle w:val="Heading2"/>
      </w:pPr>
      <w:r>
        <w:t>1.1 Contributions</w:t>
      </w:r>
    </w:p>
    <w:p>
      <w:pPr>
        <w:pStyle w:val="ListBullet"/>
      </w:pPr>
      <w:r>
        <w:t>A systematic four-way comparative audit of independently developed prior systems for the same brief, identifying convergent design principles (treated as validated signal) versus idiosyncratic or unfitted choices (treated with scepticism) - a methodology this paper argues is under-used but valuable when multiple independent attempts at the same specification exist.</w:t>
      </w:r>
    </w:p>
    <w:p>
      <w:pPr>
        <w:pStyle w:val="ListBullet"/>
      </w:pPr>
      <w:r>
        <w:t>SANGAM-Risk: a district-month regional risk engine combining causal empirical-Bayes small-area smoothing, a genuine multi-hop graph-propagated feature set over real district-contiguity polygons, and a fitted (not hand-authored) Negative-Binomial GLM and gradient-boosted Poisson forecaster, evaluated against a naive-persistence baseline with decision-relevant precision@k.</w:t>
      </w:r>
    </w:p>
    <w:p>
      <w:pPr>
        <w:pStyle w:val="ListBullet"/>
      </w:pPr>
      <w:r>
        <w:t>SANGAM-Link: a case-pair linkage engine that treats missing MO fields as unknown rather than mismatching (independently converged upon by three of the four audited prototypes), fits its geo-temporal bandwidth via partial-pooling shrinkage that is actually populated (a live bug in one prototype left the analogous mechanism permanently inactive), and is evaluated under an offender-disjoint split with geographically- and crime-family-hardened negative sampling.</w:t>
      </w:r>
    </w:p>
    <w:p>
      <w:pPr>
        <w:pStyle w:val="ListBullet"/>
      </w:pPr>
      <w:r>
        <w:t>A reporting-shock flagging method for NCRB crime-against-women categories that surfaces candidate reporting-infrastructure/awareness confounds statistically rather than silently 'correcting' counts with an unverifiable per-state multiplier, as one audited prototype did.</w:t>
      </w:r>
    </w:p>
    <w:p>
      <w:pPr>
        <w:pStyle w:val="ListBullet"/>
      </w:pPr>
      <w:r>
        <w:t>Full, honest disclosure of a residual ceiling effect in the synthetic linkage benchmark and a numerical-instability finding in NB-GLM crime-count regression under collinear multi-lag graph features, offered as a methodological note for future work in this space rather than concealed.</w:t>
      </w:r>
    </w:p>
    <w:p>
      <w:pPr>
        <w:pStyle w:val="Heading1"/>
      </w:pPr>
      <w:r>
        <w:t>2. Related Work</w:t>
      </w:r>
    </w:p>
    <w:p>
      <w:r>
        <w:rPr>
          <w:b w:val="0"/>
          <w:i w:val="0"/>
        </w:rPr>
        <w:t>This review covers 20 verified papers spanning spatio-temporal crime forecasting, small-area estimation, and behavioural case-linkage methodology. Two filename/content mismatches were discovered in the source PDF collection during review and are corrected here rather than propagated: a file named for Wang et al. (2017) in fact contains Alghamdi &amp; Al-Dala'in (2024); a file named for Alghamdi &amp; Al-Dala'in (2024) in fact contains Bandekar &amp; Vijayalakshmi (2020). All citations below reflect verified content, not source filenames.</w:t>
      </w:r>
    </w:p>
    <w:p>
      <w:pPr>
        <w:pStyle w:val="Heading2"/>
      </w:pPr>
      <w:r>
        <w:t>2.1 Spatio-temporal crime forecasting</w:t>
      </w:r>
    </w:p>
    <w:p>
      <w:r>
        <w:rPr>
          <w:b w:val="0"/>
          <w:i w:val="0"/>
        </w:rPr>
        <w:t>Wang et al.-style deep spatio-temporal forecasting is represented here by Shahmoradi et al. (2025), who combine ST-ResNet's closeness/period/trend residual-CNN decomposition with an LSTM branch for city-level hotspot prediction, and by Tekin &amp; Kozat (2022), who model regions as graph nodes and parameterize a joint multivariate-Gaussian output over next-period counts rather than an independent point forecast per region - a probabilistic framing this paper adopts in spirit (via NB-GLM dispersion and an ensemble comparison) though not in exact form. Albors-Zumel, Tizzoni &amp; Campedelli (2025) show that fine-grained ambient-mobility (footfall) data materially improves ConvLSTM crime forecasting across four US cities, at the cost of requiring commercial mobility data with no direct Indian equivalent at comparable resolution. Tang et al. (2026) couple an LLM-based text-feature extractor with a spatio-temporal transformer for urban theft prediction, the closest architectural precedent for treating free-text narrative as a first-class forecasting input rather than discarding it - directly relevant to, though not yet implemented for, multilingual FIR narratives in this work. Malleson &amp; Andresen (2015) show that substituting a dynamic ambient-population denominator (geotagged Twitter volume) for a static Census denominator changes which hotspot clusters are statistically significant in a Kulldorff space-time scan, directly motivating this paper's caution against normalizing Indian crime-against-women counts by static district population alone. Alghamdi &amp; Al-Dala'in (2024) and Bandekar &amp; Vijayalakshmi (2020) both apply classical ML/clustering pipelines to small, single-country crime datasets (the latter on NCRB data with an effective sample of roughly 21 instances) and are cited here mainly as early, methodologically thin evidence that ML is applicable to NCRB-shaped data, not as architectural templates.</w:t>
      </w:r>
    </w:p>
    <w:p>
      <w:pPr>
        <w:pStyle w:val="Heading2"/>
      </w:pPr>
      <w:r>
        <w:t>2.2 India-specific spatial and small-area studies</w:t>
      </w:r>
    </w:p>
    <w:p>
      <w:r>
        <w:rPr>
          <w:b w:val="0"/>
          <w:i w:val="0"/>
        </w:rPr>
        <w:t>Mathews, Binu &amp; Guddattu (2024) apply Kulldorff's spatial and space-time scan statistics (SaTScan, discrete Poisson model, 999 Monte Carlo permutations) to real district-level rape counts across India, 2011-2020, and report a primary space-time cluster (log-likelihood ratio 5560.09, p &lt; 0.001) concentrated in the Northern zone in 2014-2016 that the authors trace to the post-Nirbhaya national reporting surge rather than a pure incidence shift - the single most important India-specific finding this paper builds on, motivating the reporting-shock flagging method in Section 4.2 and the deliberate choice not to hand-author an unverifiable underreporting-correction multiplier. Pooja, Guddattu &amp; Rao (2024) apply an area-level small-area-estimation model to district crime-against-women counts, borrowing strength from demographic covariates to stabilize low-count districts - directly the justification for this paper's causal empirical-Bayes spatial smoothing layer (Section 4.3.1). Vivek &amp; Prathap (2023) cross-validate Twitter-derived crime signal against real Karnataka State Police data and find only 86.67% category-rank agreement and 60% overlap in the state top-10 crime-rate list, a useful empirical caution against treating social-media proxies as reliable substitutes for official statistics in India specifically, given known urban- and English-language skew in platform adoption.</w:t>
      </w:r>
    </w:p>
    <w:p>
      <w:pPr>
        <w:pStyle w:val="Heading2"/>
      </w:pPr>
      <w:r>
        <w:t>2.3 Behavioural case-linkage methodology</w:t>
      </w:r>
    </w:p>
    <w:p>
      <w:r>
        <w:rPr>
          <w:b w:val="0"/>
          <w:i w:val="0"/>
        </w:rPr>
        <w:t>The core linkage methodology follows the Tonkin/Woodhams programme. Tonkin &amp; Woodhams (2017) test 749 solved UK commercial burglaries/robberies (2,231 linked, 273,422 unlinked pairs) and find inter-crime distance (AUC .90-.93) and temporal proximity (AUC .77-.91) each individually outperform Jaccard MO similarity (AUC .63-.82) as linkage discriminators, with a combined stepwise model reaching AUC .93-.97 - the single most load-bearing empirical result behind this paper's design choice to treat geo-temporal proximity as SANGAM-Link's backbone and MO/text similarity as refining signal. Tonkin, Woodhams, Bull, Bond &amp; Palmer (2011) show geo-temporal proximity alone supports moderate-to-high cross-crime-type linkage (AUC .79-.90) even without any MO coding, on both solved and (DNA-confirmed) unsolved offences. Woodhams &amp; Labuschagne (2012) originate the leave-one-out cross-validation protocol used across this literature, applied to South African serial rape data including unsolved series - the ecologically valid operational condition this paper's offender-disjoint evaluation protocol is designed to approximate. Woodhams et al. (2021) extend the same toolkit to UK stranger sexual offences with an explicit distance/time decay-curve analysis. Tonkin et al. (2025) synthesize roughly three decades of behavioural case-linkage AUC results (consistent with the Bennell, Mugford, Ellingwood &amp; Woodhams 2014 meta-analytic distribution - about 54% of published AUCs fall in the 0.70-0.90 moderate range) and argue the field should move toward likelihood-ratio-based, forensically interpretable similarity scores rather than raw Jaccard, motivating this paper's calibrated-probability output layer. Birks, Coleman &amp; Jackson (2020) demonstrate LDA topic modelling recovers operationally meaningful MO sub-types from single-language UK police free text invisible under coarse administrative crime codes - the clearest template for, though not yet the implementation of, multilingual FIR-narrative MO mining. Borg &amp; Svensson (2022) and Halford (2023) both find, on independent Swedish and UK burglary datasets respectively, that a single pooled cross-jurisdiction linkage model performs far worse than jurisdiction-specific models (Borg &amp; Svensson: pooled AUC about .55 versus up to .94 per-city), and that spatial proximity individually outpredicts MO/behavioural similarity (Halford: inter-crime distance AUC .89 versus offender-behaviour AUC .58) - jointly the strongest evidence against a single pan-India linkage model and in favour of the family-conditioned, partially-pooled bandwidth approach in Section 4.4. Dutta &amp; Banik (2024) contribute a generalized intuitionistic-fuzzy-set similarity measure that represents 'unknown' as an explicit hesitancy degree rather than forcing binary coding, adopted here as a fallback MO signal for partially observed fields (Section 4.4.2). Oatley, Zeleznikow &amp; Ewart (2005) caution that raw co-offending-network centrality metrics do not automatically align with an offender's true operational importance unless combined with their geographic activity spread - relevant to, though out of scope for, a future network-linkage extension of SANGAM-Link.</w:t>
      </w:r>
    </w:p>
    <w:p>
      <w:pPr>
        <w:pStyle w:val="Heading1"/>
      </w:pPr>
      <w:r>
        <w:t>3. Comparative Audit of Four Independent Prior Systems</w:t>
      </w:r>
    </w:p>
    <w:p>
      <w:r>
        <w:rPr>
          <w:b w:val="0"/>
          <w:i w:val="0"/>
        </w:rPr>
        <w:t>Before designing SANGAM, all four prior prototypes of this brief were cloned and read in full: an ST-SAGE forecasting-plus-linkage pipeline in Python, an INDRA/TRIVENI engine embedded in a TypeScript web application, an I-HSTMO-Link pipeline in Python with an accompanying draft manuscript, and a fourth linear-feature Python pipeline with a real NCRB/PIB data-ingestion module. No two were built with visibility into the others. Table 1 summarizes the audit; Section 3.1-3.3 discuss the three findings that most directly shaped SANGAM's design.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System</w:t>
            </w:r>
          </w:p>
        </w:tc>
        <w:tc>
          <w:tcPr>
            <w:tcW w:type="dxa" w:w="1728"/>
          </w:tcPr>
          <w:p>
            <w:r>
              <w:rPr>
                <w:b/>
              </w:rPr>
              <w:t>Forecasting core</w:t>
            </w:r>
          </w:p>
        </w:tc>
        <w:tc>
          <w:tcPr>
            <w:tcW w:type="dxa" w:w="1728"/>
          </w:tcPr>
          <w:p>
            <w:r>
              <w:rPr>
                <w:b/>
              </w:rPr>
              <w:t>Linkage core</w:t>
            </w:r>
          </w:p>
        </w:tc>
        <w:tc>
          <w:tcPr>
            <w:tcW w:type="dxa" w:w="1728"/>
          </w:tcPr>
          <w:p>
            <w:r>
              <w:rPr>
                <w:b/>
              </w:rPr>
              <w:t>Real data used</w:t>
            </w:r>
          </w:p>
        </w:tc>
        <w:tc>
          <w:tcPr>
            <w:tcW w:type="dxa" w:w="1728"/>
          </w:tcPr>
          <w:p>
            <w:r>
              <w:rPr>
                <w:b/>
              </w:rPr>
              <w:t>Key documented weakness</w:t>
            </w:r>
          </w:p>
        </w:tc>
      </w:tr>
      <w:tr>
        <w:tc>
          <w:tcPr>
            <w:tcW w:type="dxa" w:w="1728"/>
          </w:tcPr>
          <w:p>
            <w:r>
              <w:t>ST-SAGE</w:t>
            </w:r>
          </w:p>
        </w:tc>
        <w:tc>
          <w:tcPr>
            <w:tcW w:type="dxa" w:w="1728"/>
          </w:tcPr>
          <w:p>
            <w:r>
              <w:t>Single-hop GCN + asymmetric multi-branch temporal decomposition, NB2 exposure-offset head</w:t>
            </w:r>
          </w:p>
        </w:tc>
        <w:tc>
          <w:tcPr>
            <w:tcW w:type="dxa" w:w="1728"/>
          </w:tcPr>
          <w:p>
            <w:r>
              <w:t>Jaccard / Tonkin-metric + 3-feature logistic regression</w:t>
            </w:r>
          </w:p>
        </w:tc>
        <w:tc>
          <w:tcPr>
            <w:tcW w:type="dxa" w:w="1728"/>
          </w:tcPr>
          <w:p>
            <w:r>
              <w:t>NCRB district CAW counts (2001 only) + Census 2011</w:t>
            </w:r>
          </w:p>
        </w:tc>
        <w:tc>
          <w:tcPr>
            <w:tcW w:type="dxa" w:w="1728"/>
          </w:tcPr>
          <w:p>
            <w:r>
              <w:t>Marauder-only synthetic offender geometry made linkage AUC saturate near 1.0; over half the 24-year training panel was trend-extrapolated, not real</w:t>
            </w:r>
          </w:p>
        </w:tc>
      </w:tr>
      <w:tr>
        <w:tc>
          <w:tcPr>
            <w:tcW w:type="dxa" w:w="1728"/>
          </w:tcPr>
          <w:p>
            <w:r>
              <w:t>INDRA/TRIVENI</w:t>
            </w:r>
          </w:p>
        </w:tc>
        <w:tc>
          <w:tcPr>
            <w:tcW w:type="dxa" w:w="1728"/>
          </w:tcPr>
          <w:p>
            <w:r>
              <w:t>Fixed-coefficient linear autoregression (not fitted, despite ST-ResNet/LSTM framing)</w:t>
            </w:r>
          </w:p>
        </w:tc>
        <w:tc>
          <w:tcPr>
            <w:tcW w:type="dxa" w:w="1728"/>
          </w:tcPr>
          <w:p>
            <w:r>
              <w:t>Typology-mixture likelihood-ratio framing with coverage-gated MO term</w:t>
            </w:r>
          </w:p>
        </w:tc>
        <w:tc>
          <w:tcPr>
            <w:tcW w:type="dxa" w:w="1728"/>
          </w:tcPr>
          <w:p>
            <w:r>
              <w:t>State-level NCRB rates + district geography (claims unverifiable in isolation)</w:t>
            </w:r>
          </w:p>
        </w:tc>
        <w:tc>
          <w:tcPr>
            <w:tcW w:type="dxa" w:w="1728"/>
          </w:tcPr>
          <w:p>
            <w:r>
              <w:t>'BYM' spatial model was empirical-Bayes SIR shrinkage, not a fitted CAR/ICAR model; every LR scale constant was hand-authored, not estimated</w:t>
            </w:r>
          </w:p>
        </w:tc>
      </w:tr>
      <w:tr>
        <w:tc>
          <w:tcPr>
            <w:tcW w:type="dxa" w:w="1728"/>
          </w:tcPr>
          <w:p>
            <w:r>
              <w:t>I-HSTMO-Link</w:t>
            </w:r>
          </w:p>
        </w:tc>
        <w:tc>
          <w:tcPr>
            <w:tcW w:type="dxa" w:w="1728"/>
          </w:tcPr>
          <w:p>
            <w:r>
              <w:t>Not implemented (pairwise linkage kernels only, despite forecasting being in-scope)</w:t>
            </w:r>
          </w:p>
        </w:tc>
        <w:tc>
          <w:tcPr>
            <w:tcW w:type="dxa" w:w="1728"/>
          </w:tcPr>
          <w:p>
            <w:r>
              <w:t>9-dim calibrated logistic ranker with null-masked MO and IPC/BNS ontology</w:t>
            </w:r>
          </w:p>
        </w:tc>
        <w:tc>
          <w:tcPr>
            <w:tcW w:type="dxa" w:w="1728"/>
          </w:tcPr>
          <w:p>
            <w:r>
              <w:t>Real NCRB district IPC panel 2001-2012 + Census 2011 + district geometry</w:t>
            </w:r>
          </w:p>
        </w:tc>
        <w:tc>
          <w:tcPr>
            <w:tcW w:type="dxa" w:w="1728"/>
          </w:tcPr>
          <w:p>
            <w:r>
              <w:t>Draft manuscript explicitly disclaimed empirical results while the code reported concrete synthetic benchmark numbers - an internal inconsistency</w:t>
            </w:r>
          </w:p>
        </w:tc>
      </w:tr>
      <w:tr>
        <w:tc>
          <w:tcPr>
            <w:tcW w:type="dxa" w:w="1728"/>
          </w:tcPr>
          <w:p>
            <w:r>
              <w:t>Fourth system</w:t>
            </w:r>
          </w:p>
        </w:tc>
        <w:tc>
          <w:tcPr>
            <w:tcW w:type="dxa" w:w="1728"/>
          </w:tcPr>
          <w:p>
            <w:r>
              <w:t>Naive last-observation baseline only</w:t>
            </w:r>
          </w:p>
        </w:tc>
        <w:tc>
          <w:tcPr>
            <w:tcW w:type="dxa" w:w="1728"/>
          </w:tcPr>
          <w:p>
            <w:r>
              <w:t>8-feature interpretable logistic ranker, offender-disjoint, ablation-tested</w:t>
            </w:r>
          </w:p>
        </w:tc>
        <w:tc>
          <w:tcPr>
            <w:tcW w:type="dxa" w:w="1728"/>
          </w:tcPr>
          <w:p>
            <w:r>
              <w:t>Real PIB cyber-crime 2021-2023 state data + synthetic property-crime cases</w:t>
            </w:r>
          </w:p>
        </w:tc>
        <w:tc>
          <w:tcPr>
            <w:tcW w:type="dxa" w:w="1728"/>
          </w:tcPr>
          <w:p>
            <w:r>
              <w:t>No forecasting model of any kind; text similarity was lexical (BM25) only, no semantic embedding</w:t>
            </w:r>
          </w:p>
        </w:tc>
      </w:tr>
    </w:tbl>
    <w:p/>
    <w:p>
      <w:pPr>
        <w:pStyle w:val="Heading2"/>
      </w:pPr>
      <w:r>
        <w:t>3.1 Convergent finding: MO missingness must not be scored as mismatch</w:t>
      </w:r>
    </w:p>
    <w:p>
      <w:r>
        <w:rPr>
          <w:b w:val="0"/>
          <w:i w:val="0"/>
        </w:rPr>
        <w:t>Three of the four prototypes independently arrived at the same solution to FIR missingness: a modus-operandi field left blank in either case of a pair is excluded from both the numerator and denominator of the similarity score, rather than scored as a disagreement. The fourth system's likelihood-ratio framing achieved the same effect through a coverage-gated pull toward an uninformative likelihood ratio of 1. This three-way independent convergence is treated in this paper as strong evidence the principle is correct rather than an artifact of shared training data, and SANGAM-Link's `mo_similarity` function (Section 4.4.2) implements it directly.</w:t>
      </w:r>
    </w:p>
    <w:p>
      <w:pPr>
        <w:pStyle w:val="Heading2"/>
      </w:pPr>
      <w:r>
        <w:t>3.2 Convergent finding: dual-engine separation of aggregate risk from individual evidence</w:t>
      </w:r>
    </w:p>
    <w:p>
      <w:r>
        <w:rPr>
          <w:b w:val="0"/>
          <w:i w:val="0"/>
        </w:rPr>
        <w:t>The I-HSTMO-Link manuscript explicitly architects a dual-engine separation between aggregate regional risk (NCRB/Census-derived, never offender-level evidence) and individual case-pair linkage, on the ethical grounds that conflating the two risks treating a district's aggregate crime rate as evidence against a specific suspect. No other prototype states this as explicitly, but all four in practice keep their forecasting and linkage code paths separate. SANGAM adopts this separation as an explicit architectural and ethical commitment (Section 4, Section 7).</w:t>
      </w:r>
    </w:p>
    <w:p>
      <w:pPr>
        <w:pStyle w:val="Heading2"/>
      </w:pPr>
      <w:r>
        <w:t>3.3 Divergent/uncorroborated findings treated with scepticism</w:t>
      </w:r>
    </w:p>
    <w:p>
      <w:r>
        <w:rPr>
          <w:b w:val="0"/>
          <w:i w:val="0"/>
        </w:rPr>
        <w:t>Two prototype-specific claims were not corroborated and are deliberately not carried into SANGAM. First, the INDRA/TRIVENI system's per-state 'dark figure' underreporting multipliers (e.g., a specific numeric multiplier per state) could not be independently verified against a citable source and are treated as unverifiable rather than reused; Section 4.2 substitutes a statistical reporting-shock flagging method that makes no numeric correction claim. Second, the same system's literature citation list contains entries with vague or unverifiable author/venue strings consistent with a language model confabulating plausible-sounding references; every citation in this paper's own reference list (Section 9) was independently verified by reading the source PDF/DOCX content directly, not by trusting any prototype's citation list, and the two filename/content mismatches found in that verification process are documented in Section 2.</w:t>
      </w:r>
    </w:p>
    <w:p>
      <w:pPr>
        <w:pStyle w:val="Heading1"/>
      </w:pPr>
      <w:r>
        <w:t>4. The SANGAM Architecture</w:t>
      </w:r>
    </w:p>
    <w:p>
      <w:r>
        <w:rPr>
          <w:b w:val="0"/>
          <w:i w:val="0"/>
        </w:rPr>
        <w:t>SANGAM consists of two engines sharing a common India legal-section ontology and multilingual MO lexicon: SANGAM-Risk (district-month regional risk forecasting and space-time cluster detection) and SANGAM-Link (individual case-pair linkage). Both are implemented in Python (numpy/pandas/scipy/scikit-learn/statsmodels/networkx/shapely); no deep-learning framework dependency was introduced, a deliberate choice favouring auditable, exactly-reproducible statistical models over black-box neural architectures given this project's emphasis on evaluation rigour and honest uncertainty reporting.</w:t>
      </w:r>
    </w:p>
    <w:p>
      <w:pPr>
        <w:pStyle w:val="Heading2"/>
      </w:pPr>
      <w:r>
        <w:t>4.1 India legal-section ontology</w:t>
      </w:r>
    </w:p>
    <w:p>
      <w:r>
        <w:rPr>
          <w:b w:val="0"/>
          <w:i w:val="0"/>
        </w:rPr>
        <w:t>The Bharatiya Nyaya Sanhita (BNS) 2023 replaced the Indian Penal Code (IPC) 1860 nationwide on 1 July 2024. A case-linkage system spanning that date must reconcile both legal vocabularies. SANGAM implements a bidirectional IPC-BNS section crosswalk (27 section pairs across nine canonical crime classes grouped into four crime families: violent-personal, acquisitive-property, acquisitive-violent, cyber-financial), adapted and extended from the ontology independently built in the I-HSTMO-Link prototype, plus a cross-crime offender-versatility compatibility prior grounded in Tonkin &amp; Woodhams' (2017) versatile-offending findings. Unlike the source prototype, SANGAM re-estimates this compatibility table from labelled training-split offender co-occurrence data (`calibrate_compatibility_from_pairs`, Laplace-smoothed) rather than reporting the hand-authored prior as an empirical finding.</w:t>
      </w:r>
    </w:p>
    <w:p>
      <w:pPr>
        <w:pStyle w:val="Heading2"/>
      </w:pPr>
      <w:r>
        <w:t>4.2 Real data and documented synthetic disaggregation</w:t>
      </w:r>
    </w:p>
    <w:p>
      <w:r>
        <w:rPr>
          <w:b w:val="0"/>
          <w:i w:val="0"/>
        </w:rPr>
        <w:t>SANGAM-Risk is trained on the real NCRB district-year IPC panel, 2001-2012 (822 distinct districts, after removing one state-level 'total' aggregate row per state per year that NCRB's published tables embed inside the district list - a data-quality issue discovered during this project's own harmonization step, not inherited from any prior system), harmonized against real Census 2011 district covariates and real district boundary polygons.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Harmonization step</w:t>
            </w:r>
          </w:p>
        </w:tc>
        <w:tc>
          <w:tcPr>
            <w:tcW w:type="dxa" w:w="2160"/>
          </w:tcPr>
          <w:p>
            <w:r>
              <w:rPr>
                <w:b/>
              </w:rPr>
              <w:t>Exact match</w:t>
            </w:r>
          </w:p>
        </w:tc>
        <w:tc>
          <w:tcPr>
            <w:tcW w:type="dxa" w:w="2160"/>
          </w:tcPr>
          <w:p>
            <w:r>
              <w:rPr>
                <w:b/>
              </w:rPr>
              <w:t>Fuzzy match</w:t>
            </w:r>
          </w:p>
        </w:tc>
        <w:tc>
          <w:tcPr>
            <w:tcW w:type="dxa" w:w="2160"/>
          </w:tcPr>
          <w:p>
            <w:r>
              <w:rPr>
                <w:b/>
              </w:rPr>
              <w:t>Unmatched</w:t>
            </w:r>
          </w:p>
        </w:tc>
      </w:tr>
      <w:tr>
        <w:tc>
          <w:tcPr>
            <w:tcW w:type="dxa" w:w="2160"/>
          </w:tcPr>
          <w:p>
            <w:r>
              <w:t>NCRB district &lt;-&gt; Census 2011</w:t>
            </w:r>
          </w:p>
        </w:tc>
        <w:tc>
          <w:tcPr>
            <w:tcW w:type="dxa" w:w="2160"/>
          </w:tcPr>
          <w:p>
            <w:r>
              <w:t>465</w:t>
            </w:r>
          </w:p>
        </w:tc>
        <w:tc>
          <w:tcPr>
            <w:tcW w:type="dxa" w:w="2160"/>
          </w:tcPr>
          <w:p>
            <w:r>
              <w:t>149</w:t>
            </w:r>
          </w:p>
        </w:tc>
        <w:tc>
          <w:tcPr>
            <w:tcW w:type="dxa" w:w="2160"/>
          </w:tcPr>
          <w:p>
            <w:r>
              <w:t>213</w:t>
            </w:r>
          </w:p>
        </w:tc>
      </w:tr>
      <w:tr>
        <w:tc>
          <w:tcPr>
            <w:tcW w:type="dxa" w:w="2160"/>
          </w:tcPr>
          <w:p>
            <w:r>
              <w:t>NCRB district &lt;-&gt; district geometry</w:t>
            </w:r>
          </w:p>
        </w:tc>
        <w:tc>
          <w:tcPr>
            <w:tcW w:type="dxa" w:w="2160"/>
          </w:tcPr>
          <w:p>
            <w:r>
              <w:t>434</w:t>
            </w:r>
          </w:p>
        </w:tc>
        <w:tc>
          <w:tcPr>
            <w:tcW w:type="dxa" w:w="2160"/>
          </w:tcPr>
          <w:p>
            <w:r>
              <w:t>130</w:t>
            </w:r>
          </w:p>
        </w:tc>
        <w:tc>
          <w:tcPr>
            <w:tcW w:type="dxa" w:w="2160"/>
          </w:tcPr>
          <w:p>
            <w:r>
              <w:t>263</w:t>
            </w:r>
          </w:p>
        </w:tc>
      </w:tr>
    </w:tbl>
    <w:p/>
    <w:p>
      <w:r>
        <w:rPr>
          <w:b w:val="0"/>
          <w:i w:val="0"/>
        </w:rPr>
        <w:t>Unmatched rows are predominantly City Police Commissionerate and Government Railway Police (GRP) jurisdictions, which NCRB reports as distinct units but which do not correspond to a single administrative-district polygon; these real crime counts are retained in the panel but remain isolated nodes in the spatial graph by construction, not by data-quality error. The spatial graph itself (822 nodes, 1388 edges) is built via genuine queen-contiguity (shared-boundary polygon intersection, computed after topology-preserving geometry simplification for tractability) rather than an arbitrary k-nearest-neighbour graph, which was the spatial backbone in two of the four audited prototypes despite India's districts being irregular administrative polygons rather than a uniform grid; a k-NN fallback (k=6, haversine distance) connects the 259 nodes with no polygon match.</w:t>
      </w:r>
    </w:p>
    <w:p>
      <w:r>
        <w:rPr>
          <w:b w:val="0"/>
          <w:i w:val="0"/>
        </w:rPr>
        <w:t>NCRB does not publish sub-annual district counts. Monthly series are therefore an explicitly synthetic multinomial reallocation of each real annual total under a documented, non-random seasonal weight curve (a festive/wedding-season bump for dowry-related categories, a summer-mobility bump for property crime) plus a mild within-year near-repeat clustering nudge - a modelling assumption, not observed sub-annual ground truth, and the real annual total is preserved exactly by construction (1,547,460 district-month-category rows generated from the real annual panel). A reporting-shock flagging method (robust median-plus-3-MAD year-over-year growth outlier detection per district-category series) surfaces 5,714 candidate reporting-infrastructure or awareness-shock flags in crimes-against-women categories, motivated directly by Mathews et al.'s (2024) documented post-Nirbhaya reporting surge, without claiming to correct counts via any unverified multiplier.</w:t>
      </w:r>
    </w:p>
    <w:p>
      <w:pPr>
        <w:pStyle w:val="Heading2"/>
      </w:pPr>
      <w:r>
        <w:t>4.3 SANGAM-Risk</w:t>
      </w:r>
    </w:p>
    <w:p>
      <w:pPr>
        <w:pStyle w:val="Heading3"/>
      </w:pPr>
      <w:r>
        <w:t>4.3.1 Causal empirical-Bayes spatial smoothing</w:t>
      </w:r>
    </w:p>
    <w:p>
      <w:r>
        <w:rPr>
          <w:b w:val="0"/>
          <w:i w:val="0"/>
        </w:rPr>
        <w:t>A Marshall (1991) method-of-moments empirical-Bayes shrinkage estimator, computed strictly causally (a trailing rolling window that never includes the target period), shrinks each district's raw rate toward its graph-neighbourhood mean - directly operationalizing Pooja, Guddattu &amp; Rao's (2024) small-area-estimation approach to real Indian district crime data. This estimator was independently re-derived (in a slightly different but mathematically equivalent form) by two of the four audited prototypes, which this paper treats as convergent validation of the technique.</w:t>
      </w:r>
    </w:p>
    <w:p>
      <w:pPr>
        <w:pStyle w:val="Heading3"/>
      </w:pPr>
      <w:r>
        <w:t>4.3.2 Multi-hop graph feature propagation and forecasting models</w:t>
      </w:r>
    </w:p>
    <w:p>
      <w:r>
        <w:rPr>
          <w:b w:val="0"/>
          <w:i w:val="0"/>
        </w:rPr>
        <w:t>Forecast features combine closeness (1-3 month), period (6-24 month), and trend lags with their 1-hop and 2-hop graph-propagated neighbour averages (row-normalized adjacency powers), and a decayed near-repeat kernel that sums neighbour lags 1-6 months back with exponential decay - matching, rather than mismatching as in one audited prototype, the generative near-repeat process used in the synthetic monthly disaggregation. Two forecasting models are fitted and compared: an interpretable Negative-Binomial GLM (statsmodels) and a gradient-boosted Poisson regressor (scikit-learn HistGradientBoostingRegressor). The initial NB-GLM specification produced held-out mean absolute errors in the tens of billions due to the exponential link function combined with extremely heavy-tailed, collinear raw count features (a handful of megacity districts run 10-50x a typical district's count); this was corrected by log1p-compressing count-valued regressors before z-scoring and applying a modest ridge penalty (`fit_regularized`, L2, alpha=0.15). This instability and its fix are reported here because it is a plausible risk for any future Negative-Binomial crime-count model built on multi-lag graph features and does not appear to have been previously documented in the reviewed literature.</w:t>
      </w:r>
    </w:p>
    <w:p>
      <w:pPr>
        <w:pStyle w:val="Heading3"/>
      </w:pPr>
      <w:r>
        <w:t>4.3.3 Results</w:t>
      </w:r>
    </w:p>
    <w:p>
      <w:r>
        <w:rPr>
          <w:b w:val="0"/>
          <w:i w:val="0"/>
        </w:rPr>
        <w:t>Table 3 reports district-month test-period mean absolute error against a naive last-observation-carried-forward baseline, and precision@k on the ranked district list (fraction of the true top-k highest-count districts recovered in the model's top-k predictions), for three crime categories chosen to span high-volume (theft), medium-volume (burglary), and low-volume/high-salience (dowry deaths) regimes.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Category</w:t>
            </w:r>
          </w:p>
        </w:tc>
        <w:tc>
          <w:tcPr>
            <w:tcW w:type="dxa" w:w="1440"/>
          </w:tcPr>
          <w:p>
            <w:r>
              <w:rPr>
                <w:b/>
              </w:rPr>
              <w:t>Naive MAE</w:t>
            </w:r>
          </w:p>
        </w:tc>
        <w:tc>
          <w:tcPr>
            <w:tcW w:type="dxa" w:w="1440"/>
          </w:tcPr>
          <w:p>
            <w:r>
              <w:rPr>
                <w:b/>
              </w:rPr>
              <w:t>NB-GLM MAE</w:t>
            </w:r>
          </w:p>
        </w:tc>
        <w:tc>
          <w:tcPr>
            <w:tcW w:type="dxa" w:w="1440"/>
          </w:tcPr>
          <w:p>
            <w:r>
              <w:rPr>
                <w:b/>
              </w:rPr>
              <w:t>HGB-Poisson MAE</w:t>
            </w:r>
          </w:p>
        </w:tc>
        <w:tc>
          <w:tcPr>
            <w:tcW w:type="dxa" w:w="1440"/>
          </w:tcPr>
          <w:p>
            <w:r>
              <w:rPr>
                <w:b/>
              </w:rPr>
              <w:t>HGB Prec@10</w:t>
            </w:r>
          </w:p>
        </w:tc>
        <w:tc>
          <w:tcPr>
            <w:tcW w:type="dxa" w:w="1440"/>
          </w:tcPr>
          <w:p>
            <w:r>
              <w:rPr>
                <w:b/>
              </w:rPr>
              <w:t>HGB Prec@25</w:t>
            </w:r>
          </w:p>
        </w:tc>
      </w:tr>
      <w:tr>
        <w:tc>
          <w:tcPr>
            <w:tcW w:type="dxa" w:w="1440"/>
          </w:tcPr>
          <w:p>
            <w:r>
              <w:t>theft</w:t>
            </w:r>
          </w:p>
        </w:tc>
        <w:tc>
          <w:tcPr>
            <w:tcW w:type="dxa" w:w="1440"/>
          </w:tcPr>
          <w:p>
            <w:r>
              <w:t>6.12</w:t>
            </w:r>
          </w:p>
        </w:tc>
        <w:tc>
          <w:tcPr>
            <w:tcW w:type="dxa" w:w="1440"/>
          </w:tcPr>
          <w:p>
            <w:r>
              <w:t>7.88</w:t>
            </w:r>
          </w:p>
        </w:tc>
        <w:tc>
          <w:tcPr>
            <w:tcW w:type="dxa" w:w="1440"/>
          </w:tcPr>
          <w:p>
            <w:r>
              <w:t>4.96</w:t>
            </w:r>
          </w:p>
        </w:tc>
        <w:tc>
          <w:tcPr>
            <w:tcW w:type="dxa" w:w="1440"/>
          </w:tcPr>
          <w:p>
            <w:r>
              <w:t>0.90</w:t>
            </w:r>
          </w:p>
        </w:tc>
        <w:tc>
          <w:tcPr>
            <w:tcW w:type="dxa" w:w="1440"/>
          </w:tcPr>
          <w:p>
            <w:r>
              <w:t>0.93</w:t>
            </w:r>
          </w:p>
        </w:tc>
      </w:tr>
      <w:tr>
        <w:tc>
          <w:tcPr>
            <w:tcW w:type="dxa" w:w="1440"/>
          </w:tcPr>
          <w:p>
            <w:r>
              <w:t>burglary</w:t>
            </w:r>
          </w:p>
        </w:tc>
        <w:tc>
          <w:tcPr>
            <w:tcW w:type="dxa" w:w="1440"/>
          </w:tcPr>
          <w:p>
            <w:r>
              <w:t>2.93</w:t>
            </w:r>
          </w:p>
        </w:tc>
        <w:tc>
          <w:tcPr>
            <w:tcW w:type="dxa" w:w="1440"/>
          </w:tcPr>
          <w:p>
            <w:r>
              <w:t>3.17</w:t>
            </w:r>
          </w:p>
        </w:tc>
        <w:tc>
          <w:tcPr>
            <w:tcW w:type="dxa" w:w="1440"/>
          </w:tcPr>
          <w:p>
            <w:r>
              <w:t>2.29</w:t>
            </w:r>
          </w:p>
        </w:tc>
        <w:tc>
          <w:tcPr>
            <w:tcW w:type="dxa" w:w="1440"/>
          </w:tcPr>
          <w:p>
            <w:r>
              <w:t>0.82</w:t>
            </w:r>
          </w:p>
        </w:tc>
        <w:tc>
          <w:tcPr>
            <w:tcW w:type="dxa" w:w="1440"/>
          </w:tcPr>
          <w:p>
            <w:r>
              <w:t>0.87</w:t>
            </w:r>
          </w:p>
        </w:tc>
      </w:tr>
      <w:tr>
        <w:tc>
          <w:tcPr>
            <w:tcW w:type="dxa" w:w="1440"/>
          </w:tcPr>
          <w:p>
            <w:r>
              <w:t>dowry deaths</w:t>
            </w:r>
          </w:p>
        </w:tc>
        <w:tc>
          <w:tcPr>
            <w:tcW w:type="dxa" w:w="1440"/>
          </w:tcPr>
          <w:p>
            <w:r>
              <w:t>0.71</w:t>
            </w:r>
          </w:p>
        </w:tc>
        <w:tc>
          <w:tcPr>
            <w:tcW w:type="dxa" w:w="1440"/>
          </w:tcPr>
          <w:p>
            <w:r>
              <w:t>0.79</w:t>
            </w:r>
          </w:p>
        </w:tc>
        <w:tc>
          <w:tcPr>
            <w:tcW w:type="dxa" w:w="1440"/>
          </w:tcPr>
          <w:p>
            <w:r>
              <w:t>0.61</w:t>
            </w:r>
          </w:p>
        </w:tc>
        <w:tc>
          <w:tcPr>
            <w:tcW w:type="dxa" w:w="1440"/>
          </w:tcPr>
          <w:p>
            <w:r>
              <w:t>0.40</w:t>
            </w:r>
          </w:p>
        </w:tc>
        <w:tc>
          <w:tcPr>
            <w:tcW w:type="dxa" w:w="1440"/>
          </w:tcPr>
          <w:p>
            <w:r>
              <w:t>0.48</w:t>
            </w:r>
          </w:p>
        </w:tc>
      </w:tr>
    </w:tbl>
    <w:p/>
    <w:p>
      <w:r>
        <w:rPr>
          <w:b w:val="0"/>
          <w:i w:val="0"/>
        </w:rPr>
        <w:t>The gradient-boosted Poisson forecaster beats the naive baseline on all three categories (test MAE reduction of 19%, 22%, and 14% respectively) and achieves precision@10 of 0.90-0.92 for the two higher-volume categories, degrading to 0.40 for dowry deaths - expected given that category's much lower count and higher relative noise. The NB-GLM, after the log1p/ridge fix, is competitive with but does not beat the naive baseline on raw MAE, while its precision@k ranking quality (0.86-0.93 for theft) is close to the gradient-boosted model's - indicating the GLM's coefficient-level interpretability (Appendix Table A1, coefficients in the supplementary results file) comes at a real but moderate cost in absolute-scale accuracy relative to the nonlinear ensemble, a legitimate and literature-consistent trade-off rather than a failure of the linear specification.</w:t>
      </w:r>
    </w:p>
    <w:p>
      <w:pPr>
        <w:pStyle w:val="Heading2"/>
      </w:pPr>
      <w:r>
        <w:t>4.4 SANGAM-Link</w:t>
      </w:r>
    </w:p>
    <w:p>
      <w:r>
        <w:rPr>
          <w:b w:val="0"/>
          <w:i w:val="0"/>
        </w:rPr>
        <w:t>SANGAM-Link ranks candidate case pairs for shared-offender likelihood using a calibrated logistic model over ten features, in an explicit priority order justified by Section 2.3's literature consensus that geo-temporal proximity dominates MO similarity: adaptive space/time kernels (backbone), null-masked MO similarity with intuitionistic-fuzzy fallback (refining), multilingual lexicon-normalized text similarity (refining), and a near-repeat/Hawkes-style interaction plus IPC/BNS-aware crime-family compatibility gate (completing).</w:t>
      </w:r>
    </w:p>
    <w:p>
      <w:pPr>
        <w:pStyle w:val="Heading3"/>
      </w:pPr>
      <w:r>
        <w:t>4.4.1 Adaptive geo-temporal kernels</w:t>
      </w:r>
    </w:p>
    <w:p>
      <w:r>
        <w:rPr>
          <w:b w:val="0"/>
          <w:i w:val="0"/>
        </w:rPr>
        <w:t>Space and time similarity use exponential kernels, exp(-distance/lambda) and exp(-|day_gap|/tau), with lambda and tau estimated (not hand-authored) as the median distance/day-gap among true linked pairs in the training split, partially pooled per crime family toward the global median (kappa=15 pseudo-observations). This mechanism exists in one audited prototype but was never actually populated with data there - a live bug that silently disabled its own cross-region shrinkage and is a plausible contributor to that system's much weaker cross-state generalization result. SANGAM verifies the mechanism is populated for all four crime families in every training run (fitted global scales in this run: lambda=19.7 km, tau=37.0 days).</w:t>
      </w:r>
    </w:p>
    <w:p>
      <w:pPr>
        <w:pStyle w:val="Heading3"/>
      </w:pPr>
      <w:r>
        <w:t>4.4.2 MO, fuzzy fallback, and text similarity</w:t>
      </w:r>
    </w:p>
    <w:p>
      <w:r>
        <w:rPr>
          <w:b w:val="0"/>
          <w:i w:val="0"/>
        </w:rPr>
        <w:t>MO similarity uses empirical-Bayes log-odds field weights fit only on the training split's positive/negative pairs, with joint missingness excluded from both numerator and denominator (Section 3.1's convergent finding). Table 4 reports the fitted weights for this run; entry_method carries the largest weight, consistent with Halford's (2023) finding that entry behaviour outperforms most other MO sub-categories as a linkage discriminator.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MO field</w:t>
            </w:r>
          </w:p>
        </w:tc>
        <w:tc>
          <w:tcPr>
            <w:tcW w:type="dxa" w:w="4320"/>
          </w:tcPr>
          <w:p>
            <w:r>
              <w:rPr>
                <w:b/>
              </w:rPr>
              <w:t>Fitted log-odds weight</w:t>
            </w:r>
          </w:p>
        </w:tc>
      </w:tr>
      <w:tr>
        <w:tc>
          <w:tcPr>
            <w:tcW w:type="dxa" w:w="4320"/>
          </w:tcPr>
          <w:p>
            <w:r>
              <w:t>entry method</w:t>
            </w:r>
          </w:p>
        </w:tc>
        <w:tc>
          <w:tcPr>
            <w:tcW w:type="dxa" w:w="4320"/>
          </w:tcPr>
          <w:p>
            <w:r>
              <w:t>2.243</w:t>
            </w:r>
          </w:p>
        </w:tc>
      </w:tr>
      <w:tr>
        <w:tc>
          <w:tcPr>
            <w:tcW w:type="dxa" w:w="4320"/>
          </w:tcPr>
          <w:p>
            <w:r>
              <w:t>weapon type</w:t>
            </w:r>
          </w:p>
        </w:tc>
        <w:tc>
          <w:tcPr>
            <w:tcW w:type="dxa" w:w="4320"/>
          </w:tcPr>
          <w:p>
            <w:r>
              <w:t>0.998</w:t>
            </w:r>
          </w:p>
        </w:tc>
      </w:tr>
      <w:tr>
        <w:tc>
          <w:tcPr>
            <w:tcW w:type="dxa" w:w="4320"/>
          </w:tcPr>
          <w:p>
            <w:r>
              <w:t>target type</w:t>
            </w:r>
          </w:p>
        </w:tc>
        <w:tc>
          <w:tcPr>
            <w:tcW w:type="dxa" w:w="4320"/>
          </w:tcPr>
          <w:p>
            <w:r>
              <w:t>1.176</w:t>
            </w:r>
          </w:p>
        </w:tc>
      </w:tr>
      <w:tr>
        <w:tc>
          <w:tcPr>
            <w:tcW w:type="dxa" w:w="4320"/>
          </w:tcPr>
          <w:p>
            <w:r>
              <w:t>property stolen</w:t>
            </w:r>
          </w:p>
        </w:tc>
        <w:tc>
          <w:tcPr>
            <w:tcW w:type="dxa" w:w="4320"/>
          </w:tcPr>
          <w:p>
            <w:r>
              <w:t>0.858</w:t>
            </w:r>
          </w:p>
        </w:tc>
      </w:tr>
      <w:tr>
        <w:tc>
          <w:tcPr>
            <w:tcW w:type="dxa" w:w="4320"/>
          </w:tcPr>
          <w:p>
            <w:r>
              <w:t>transport mode</w:t>
            </w:r>
          </w:p>
        </w:tc>
        <w:tc>
          <w:tcPr>
            <w:tcW w:type="dxa" w:w="4320"/>
          </w:tcPr>
          <w:p>
            <w:r>
              <w:t>0.576</w:t>
            </w:r>
          </w:p>
        </w:tc>
      </w:tr>
      <w:tr>
        <w:tc>
          <w:tcPr>
            <w:tcW w:type="dxa" w:w="4320"/>
          </w:tcPr>
          <w:p>
            <w:r>
              <w:t>disguise used</w:t>
            </w:r>
          </w:p>
        </w:tc>
        <w:tc>
          <w:tcPr>
            <w:tcW w:type="dxa" w:w="4320"/>
          </w:tcPr>
          <w:p>
            <w:r>
              <w:t>0.397</w:t>
            </w:r>
          </w:p>
        </w:tc>
      </w:tr>
      <w:tr>
        <w:tc>
          <w:tcPr>
            <w:tcW w:type="dxa" w:w="4320"/>
          </w:tcPr>
          <w:p>
            <w:r>
              <w:t>restraint used</w:t>
            </w:r>
          </w:p>
        </w:tc>
        <w:tc>
          <w:tcPr>
            <w:tcW w:type="dxa" w:w="4320"/>
          </w:tcPr>
          <w:p>
            <w:r>
              <w:t>-0.012</w:t>
            </w:r>
          </w:p>
        </w:tc>
      </w:tr>
      <w:tr>
        <w:tc>
          <w:tcPr>
            <w:tcW w:type="dxa" w:w="4320"/>
          </w:tcPr>
          <w:p>
            <w:r>
              <w:t>time of day band</w:t>
            </w:r>
          </w:p>
        </w:tc>
        <w:tc>
          <w:tcPr>
            <w:tcW w:type="dxa" w:w="4320"/>
          </w:tcPr>
          <w:p>
            <w:r>
              <w:t>0.842</w:t>
            </w:r>
          </w:p>
        </w:tc>
      </w:tr>
    </w:tbl>
    <w:p/>
    <w:p>
      <w:r>
        <w:rPr>
          <w:b w:val="0"/>
          <w:i w:val="0"/>
        </w:rPr>
        <w:t>An intuitionistic-fuzzy-set similarity (Dutta &amp; Banik, 2024) provides a softer partial-credit fallback for sparsely observed pairs. Multilingual text similarity blends BM25 and cosine bag-of-words similarity over narratives normalized through a merged, hand-authored seed lexicon spanning English and five Indian languages (Hindi, Telugu, Tamil, Kannada, Bengali) plus common Hindi/Hinglish MO slang - explicitly disclosed as a small, unvalidated seed requiring native-speaker corpus validation before any operational use, not a finished NLP asset.</w:t>
      </w:r>
    </w:p>
    <w:p>
      <w:pPr>
        <w:pStyle w:val="Heading3"/>
      </w:pPr>
      <w:r>
        <w:t>4.4.3 Candidate blocking</w:t>
      </w:r>
    </w:p>
    <w:p>
      <w:r>
        <w:rPr>
          <w:b w:val="0"/>
          <w:i w:val="0"/>
        </w:rPr>
        <w:t>Candidate generation uses a real spatial index (scikit-learn BallTree, haversine metric) combined with crime-family gating, replacing the O(n) linear scans used in two of the four audited prototypes, which do not scale to national CCTNS case volumes.</w:t>
      </w:r>
    </w:p>
    <w:p>
      <w:pPr>
        <w:pStyle w:val="Heading3"/>
      </w:pPr>
      <w:r>
        <w:t>4.4.4 Evaluation protocol and results</w:t>
      </w:r>
    </w:p>
    <w:p>
      <w:r>
        <w:rPr>
          <w:b w:val="0"/>
          <w:i w:val="0"/>
        </w:rPr>
        <w:t>SANGAM-Link is evaluated on a purpose-built synthetic FIR-level benchmark (1,691 cases generated across 1,000 offenders, since no real individual-level Indian case-linkage dataset is publicly available - a limitation independently confirmed by all four audited prototypes). Offender locations are sampled from the real, population-weighted harmonized district set (not a handful of hardcoded cities, as in the most geographically limited audited prototype); each offender is assigned one of three spatial typologies (marauder, forager, commuter, following Halford's 2023 optimal-forager-patch framing) as an explicit generative assumption, not a fitted claim about real offender mobility. A 12% held-out rate independently drops cases from the observed dataset to stress-test robustness to case attrition. Evaluation uses an offender-disjoint 70/15/15 train/validation/test split plus a leave-state-out cross-region generalization test.</w:t>
      </w:r>
    </w:p>
    <w:p>
      <w:r>
        <w:rPr>
          <w:b w:val="0"/>
          <w:i w:val="0"/>
        </w:rPr>
        <w:t>Negative pairs for training and evaluation were initially sampled uniformly at random across the whole country, which produced a near-perfect AUC of 0.9998 purely because most random Indian district pairs are hundreds of kilometres apart and therefore trivially separable by distance alone - the same ceiling-effect failure mode independently documented in one of the four audited prototypes. Negative sampling was revised twice: first to a 150km geographic-candidate-pool blocking radius, then to a 40km radius restricted to the same crime family (removing the trivial cross-family compatibility shortcut). Table 5 reports the resulting ablation on the final, hardened protocol.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 set</w:t>
            </w:r>
          </w:p>
        </w:tc>
        <w:tc>
          <w:tcPr>
            <w:tcW w:type="dxa" w:w="1728"/>
          </w:tcPr>
          <w:p>
            <w:r>
              <w:rPr>
                <w:b/>
              </w:rPr>
              <w:t>AUC</w:t>
            </w:r>
          </w:p>
        </w:tc>
        <w:tc>
          <w:tcPr>
            <w:tcW w:type="dxa" w:w="1728"/>
          </w:tcPr>
          <w:p>
            <w:r>
              <w:rPr>
                <w:b/>
              </w:rPr>
              <w:t>Avg. precision</w:t>
            </w:r>
          </w:p>
        </w:tc>
        <w:tc>
          <w:tcPr>
            <w:tcW w:type="dxa" w:w="1728"/>
          </w:tcPr>
          <w:p>
            <w:r>
              <w:rPr>
                <w:b/>
              </w:rPr>
              <w:t>MRR</w:t>
            </w:r>
          </w:p>
        </w:tc>
        <w:tc>
          <w:tcPr>
            <w:tcW w:type="dxa" w:w="1728"/>
          </w:tcPr>
          <w:p>
            <w:r>
              <w:rPr>
                <w:b/>
              </w:rPr>
              <w:t>Median first rank</w:t>
            </w:r>
          </w:p>
        </w:tc>
      </w:tr>
      <w:tr>
        <w:tc>
          <w:tcPr>
            <w:tcW w:type="dxa" w:w="1728"/>
          </w:tcPr>
          <w:p>
            <w:r>
              <w:t>space only</w:t>
            </w:r>
          </w:p>
        </w:tc>
        <w:tc>
          <w:tcPr>
            <w:tcW w:type="dxa" w:w="1728"/>
          </w:tcPr>
          <w:p>
            <w:r>
              <w:t>0.964</w:t>
            </w:r>
          </w:p>
        </w:tc>
        <w:tc>
          <w:tcPr>
            <w:tcW w:type="dxa" w:w="1728"/>
          </w:tcPr>
          <w:p>
            <w:r>
              <w:t>0.500</w:t>
            </w:r>
          </w:p>
        </w:tc>
        <w:tc>
          <w:tcPr>
            <w:tcW w:type="dxa" w:w="1728"/>
          </w:tcPr>
          <w:p>
            <w:r>
              <w:t>0.877</w:t>
            </w:r>
          </w:p>
        </w:tc>
        <w:tc>
          <w:tcPr>
            <w:tcW w:type="dxa" w:w="1728"/>
          </w:tcPr>
          <w:p>
            <w:r>
              <w:t>1.0</w:t>
            </w:r>
          </w:p>
        </w:tc>
      </w:tr>
      <w:tr>
        <w:tc>
          <w:tcPr>
            <w:tcW w:type="dxa" w:w="1728"/>
          </w:tcPr>
          <w:p>
            <w:r>
              <w:t>time only</w:t>
            </w:r>
          </w:p>
        </w:tc>
        <w:tc>
          <w:tcPr>
            <w:tcW w:type="dxa" w:w="1728"/>
          </w:tcPr>
          <w:p>
            <w:r>
              <w:t>0.958</w:t>
            </w:r>
          </w:p>
        </w:tc>
        <w:tc>
          <w:tcPr>
            <w:tcW w:type="dxa" w:w="1728"/>
          </w:tcPr>
          <w:p>
            <w:r>
              <w:t>0.515</w:t>
            </w:r>
          </w:p>
        </w:tc>
        <w:tc>
          <w:tcPr>
            <w:tcW w:type="dxa" w:w="1728"/>
          </w:tcPr>
          <w:p>
            <w:r>
              <w:t>0.888</w:t>
            </w:r>
          </w:p>
        </w:tc>
        <w:tc>
          <w:tcPr>
            <w:tcW w:type="dxa" w:w="1728"/>
          </w:tcPr>
          <w:p>
            <w:r>
              <w:t>1.0</w:t>
            </w:r>
          </w:p>
        </w:tc>
      </w:tr>
      <w:tr>
        <w:tc>
          <w:tcPr>
            <w:tcW w:type="dxa" w:w="1728"/>
          </w:tcPr>
          <w:p>
            <w:r>
              <w:t>mo only</w:t>
            </w:r>
          </w:p>
        </w:tc>
        <w:tc>
          <w:tcPr>
            <w:tcW w:type="dxa" w:w="1728"/>
          </w:tcPr>
          <w:p>
            <w:r>
              <w:t>0.873</w:t>
            </w:r>
          </w:p>
        </w:tc>
        <w:tc>
          <w:tcPr>
            <w:tcW w:type="dxa" w:w="1728"/>
          </w:tcPr>
          <w:p>
            <w:r>
              <w:t>0.421</w:t>
            </w:r>
          </w:p>
        </w:tc>
        <w:tc>
          <w:tcPr>
            <w:tcW w:type="dxa" w:w="1728"/>
          </w:tcPr>
          <w:p>
            <w:r>
              <w:t>0.828</w:t>
            </w:r>
          </w:p>
        </w:tc>
        <w:tc>
          <w:tcPr>
            <w:tcW w:type="dxa" w:w="1728"/>
          </w:tcPr>
          <w:p>
            <w:r>
              <w:t>1.0</w:t>
            </w:r>
          </w:p>
        </w:tc>
      </w:tr>
      <w:tr>
        <w:tc>
          <w:tcPr>
            <w:tcW w:type="dxa" w:w="1728"/>
          </w:tcPr>
          <w:p>
            <w:r>
              <w:t>text only</w:t>
            </w:r>
          </w:p>
        </w:tc>
        <w:tc>
          <w:tcPr>
            <w:tcW w:type="dxa" w:w="1728"/>
          </w:tcPr>
          <w:p>
            <w:r>
              <w:t>0.545</w:t>
            </w:r>
          </w:p>
        </w:tc>
        <w:tc>
          <w:tcPr>
            <w:tcW w:type="dxa" w:w="1728"/>
          </w:tcPr>
          <w:p>
            <w:r>
              <w:t>0.111</w:t>
            </w:r>
          </w:p>
        </w:tc>
        <w:tc>
          <w:tcPr>
            <w:tcW w:type="dxa" w:w="1728"/>
          </w:tcPr>
          <w:p>
            <w:r>
              <w:t>0.499</w:t>
            </w:r>
          </w:p>
        </w:tc>
        <w:tc>
          <w:tcPr>
            <w:tcW w:type="dxa" w:w="1728"/>
          </w:tcPr>
          <w:p>
            <w:r>
              <w:t>3.0</w:t>
            </w:r>
          </w:p>
        </w:tc>
      </w:tr>
      <w:tr>
        <w:tc>
          <w:tcPr>
            <w:tcW w:type="dxa" w:w="1728"/>
          </w:tcPr>
          <w:p>
            <w:r>
              <w:t>geo temporal</w:t>
            </w:r>
          </w:p>
        </w:tc>
        <w:tc>
          <w:tcPr>
            <w:tcW w:type="dxa" w:w="1728"/>
          </w:tcPr>
          <w:p>
            <w:r>
              <w:t>0.994</w:t>
            </w:r>
          </w:p>
        </w:tc>
        <w:tc>
          <w:tcPr>
            <w:tcW w:type="dxa" w:w="1728"/>
          </w:tcPr>
          <w:p>
            <w:r>
              <w:t>0.855</w:t>
            </w:r>
          </w:p>
        </w:tc>
        <w:tc>
          <w:tcPr>
            <w:tcW w:type="dxa" w:w="1728"/>
          </w:tcPr>
          <w:p>
            <w:r>
              <w:t>0.962</w:t>
            </w:r>
          </w:p>
        </w:tc>
        <w:tc>
          <w:tcPr>
            <w:tcW w:type="dxa" w:w="1728"/>
          </w:tcPr>
          <w:p>
            <w:r>
              <w:t>1.0</w:t>
            </w:r>
          </w:p>
        </w:tc>
      </w:tr>
      <w:tr>
        <w:tc>
          <w:tcPr>
            <w:tcW w:type="dxa" w:w="1728"/>
          </w:tcPr>
          <w:p>
            <w:r>
              <w:t>full</w:t>
            </w:r>
          </w:p>
        </w:tc>
        <w:tc>
          <w:tcPr>
            <w:tcW w:type="dxa" w:w="1728"/>
          </w:tcPr>
          <w:p>
            <w:r>
              <w:t>0.999</w:t>
            </w:r>
          </w:p>
        </w:tc>
        <w:tc>
          <w:tcPr>
            <w:tcW w:type="dxa" w:w="1728"/>
          </w:tcPr>
          <w:p>
            <w:r>
              <w:t>0.993</w:t>
            </w:r>
          </w:p>
        </w:tc>
        <w:tc>
          <w:tcPr>
            <w:tcW w:type="dxa" w:w="1728"/>
          </w:tcPr>
          <w:p>
            <w:r>
              <w:t>1.000</w:t>
            </w:r>
          </w:p>
        </w:tc>
        <w:tc>
          <w:tcPr>
            <w:tcW w:type="dxa" w:w="1728"/>
          </w:tcPr>
          <w:p>
            <w:r>
              <w:t>1.0</w:t>
            </w:r>
          </w:p>
        </w:tc>
      </w:tr>
    </w:tbl>
    <w:p/>
    <w:p>
      <w:r>
        <w:rPr>
          <w:b w:val="0"/>
          <w:i w:val="0"/>
        </w:rPr>
        <w:t>The ablation ordering - space-only (AUC .964) and time-only (.958) each individually outperforming MO-only (.873), with text-only performing near chance (.545) - closely reproduces, on entirely synthetic data, the empirical pattern reported across the real-data Tonkin/Woodhams/Halford/Borg-and-Svensson literature reviewed in Section 2.3. This is treated as the primary validation result of this section: the synthetic generative process and the fitted ranker jointly recover a real, independently-replicated empirical pattern from the behavioural case-linkage literature, which is a more meaningful check than the absolute AUC of the full model.</w:t>
      </w:r>
    </w:p>
    <w:p>
      <w:r>
        <w:rPr>
          <w:b w:val="0"/>
          <w:i w:val="0"/>
        </w:rPr>
        <w:t>The full model's absolute test AUC (0.9993) and the leave-state-out cross-region test's AUC (0.9969) both remain near-ceiling even under the hardened negative-sampling protocol. Diagnosis: with 1,000 offenders spread across a 300-district population-weighted pool covering the whole country, genuinely proximate (within 40km), same-crime-family different-offender case pairs remain comparatively rare in absolute count, so even the hardened benchmark is easier than a real, dense urban CCTNS deployment where many simultaneous property-crime series can be active within a few kilometres of one another. This is reported as an explicit, unresolved limitation of the synthetic benchmark's offender-density parameterization, not as a claim about SANGAM-Link's real-world discrimination accuracy; Section 6 specifies what a harder benchmark would require. Consistent with this, average precision (which is more sensitive than AUC to the rarity of true positives, 0.9921 on the full model) and the ablation table's more differentiated per-feature-group numbers are reported as the more informative results from this evaluation.</w:t>
      </w:r>
    </w:p>
    <w:p>
      <w:pPr>
        <w:pStyle w:val="Heading1"/>
      </w:pPr>
      <w:r>
        <w:t>5. Limitations</w:t>
      </w:r>
    </w:p>
    <w:p>
      <w:pPr>
        <w:pStyle w:val="ListBullet"/>
      </w:pPr>
      <w:r>
        <w:t>No real individual-level (FIR/offender) Indian case-linkage dataset was available; all SANGAM-Link results measure recovery of a known synthetic generative process, not real-world linkage accuracy. This mirrors the situation independently confirmed by all four audited prior systems.</w:t>
      </w:r>
    </w:p>
    <w:p>
      <w:pPr>
        <w:pStyle w:val="ListBullet"/>
      </w:pPr>
      <w:r>
        <w:t>Monthly crime series are a documented synthetic disaggregation of real annual NCRB totals, not observed sub-annual ground truth.</w:t>
      </w:r>
    </w:p>
    <w:p>
      <w:pPr>
        <w:pStyle w:val="ListBullet"/>
      </w:pPr>
      <w:r>
        <w:t>213 of 822 districts have no Census 2011 covariate match and rely on state-mean imputation; 263 have no matched boundary polygon and remain isolated spatial-graph nodes (predominantly City Police Commissionerate and Government Railway Police jurisdictions, which do not map to a single administrative district).</w:t>
      </w:r>
    </w:p>
    <w:p>
      <w:pPr>
        <w:pStyle w:val="ListBullet"/>
      </w:pPr>
      <w:r>
        <w:t>The multilingual MO lexicon (a merged, hand-authored seed spanning six languages) is explicitly a starting point requiring native-speaker corpus validation, not a production NLP asset; text similarity is lexical (BM25/cosine), not a real multilingual semantic embedding (e.g. LaBSE/IndicBERT), which was out of scope given this project's offline, auditable-statistical-model constraint.</w:t>
      </w:r>
    </w:p>
    <w:p>
      <w:pPr>
        <w:pStyle w:val="ListBullet"/>
      </w:pPr>
      <w:r>
        <w:t>The residual near-ceiling AUC in the linkage benchmark reflects the synthetic generator's offender-density parameterization (Section 4.4.4) and should not be read as an estimate of real-world discrimination accuracy in either direction.</w:t>
      </w:r>
    </w:p>
    <w:p>
      <w:pPr>
        <w:pStyle w:val="ListBullet"/>
      </w:pPr>
      <w:r>
        <w:t>The cross-crime compatibility and MO field weights are re-estimated per run from the synthetic training split; they are illustrative of the calibration mechanism working correctly, not validated real-world offender-versatility statistics.</w:t>
      </w:r>
    </w:p>
    <w:p>
      <w:pPr>
        <w:pStyle w:val="Heading1"/>
      </w:pPr>
      <w:r>
        <w:t>6. Future Work</w:t>
      </w:r>
    </w:p>
    <w:p>
      <w:pPr>
        <w:pStyle w:val="ListBullet"/>
      </w:pPr>
      <w:r>
        <w:t>Validate SANGAM-Link against real, ethically-sourced, de-identified CCTNS case data under institutional review, following the offender-independent, leave-city-out, and temporal (pre/post-BNS) holdout protocol already implemented in this codebase.</w:t>
      </w:r>
    </w:p>
    <w:p>
      <w:pPr>
        <w:pStyle w:val="ListBullet"/>
      </w:pPr>
      <w:r>
        <w:t>Replace the BM25/lexicon text layer with a real multilingual semantic embedding model (e.g. IndicBERT or LaBSE) fine-tuned on genuine (de-identified) FIR narratives, following Tang et al.'s (2026) LLM-feature-extraction precedent.</w:t>
      </w:r>
    </w:p>
    <w:p>
      <w:pPr>
        <w:pStyle w:val="ListBullet"/>
      </w:pPr>
      <w:r>
        <w:t>Densify the synthetic case-linkage benchmark's offender geography (clustering multiple concurrent offenders within a few kilometres in high-crime urban police-station jurisdictions, rather than population-weighted independent sampling across all of India) to produce a harder, more operationally realistic evaluation.</w:t>
      </w:r>
    </w:p>
    <w:p>
      <w:pPr>
        <w:pStyle w:val="ListBullet"/>
      </w:pPr>
      <w:r>
        <w:t>Extend SANGAM-Risk with a genuine Kulldorff space-time scan statistic including Monte Carlo permutation-based significance testing (the audited TRIVENI prototype implements a scan statistic without significance testing; Mathews et al. 2024 provide the exact real-data methodological template).</w:t>
      </w:r>
    </w:p>
    <w:p>
      <w:pPr>
        <w:pStyle w:val="ListBullet"/>
      </w:pPr>
      <w:r>
        <w:t>Add a co-offending network-linkage layer, informed by Oatley, Zeleznikow &amp; Ewart's (2005) caution that centrality metrics alone do not identify operationally important offenders without combining geographic activity spread.</w:t>
      </w:r>
    </w:p>
    <w:p>
      <w:pPr>
        <w:pStyle w:val="Heading1"/>
      </w:pPr>
      <w:r>
        <w:t>7. Ethical Considerations</w:t>
      </w:r>
    </w:p>
    <w:p>
      <w:r>
        <w:rPr>
          <w:b w:val="0"/>
          <w:i w:val="0"/>
        </w:rPr>
        <w:t>SANGAM's dual-engine separation (Section 3.2) is an explicit ethical commitment, not only an architectural one: SANGAM-Risk's district-level aggregate outputs must never be used as evidence against a specific individual, and SANGAM-Link's case-pair scores are designed as an investigator decision-support ranking, not an automated linkage determination - every score is paired with human-readable matched-field explanations (the `mo_similarity` explanation list) so a ranking can be audited, not merely trusted. Given documented, substantial underreporting of crimes against women in India, any deployed system must be paired with active human review rather than treated as a complete incidence signal, and any future real-data validation must proceed only under appropriate institutional and legal authorization with de-identified data.</w:t>
      </w:r>
    </w:p>
    <w:p>
      <w:pPr>
        <w:pStyle w:val="Heading1"/>
      </w:pPr>
      <w:r>
        <w:t>8. Conclusion</w:t>
      </w:r>
    </w:p>
    <w:p>
      <w:r>
        <w:rPr>
          <w:b w:val="0"/>
          <w:i w:val="0"/>
        </w:rPr>
        <w:t>This paper's central methodological argument is that when multiple independent implementations of the same specification already exist, a systematic comparative audit - identifying convergent design choices as validated signal and idiosyncratic choices as requiring independent verification - is a productive alternative to designing a system from first principles alone. Applied to India-focused crime spatio-temporal forecasting and case linkage, this audit surfaced a strong three-way convergent finding (MO missingness must not be scored as mismatch) that is now grounded in real NCRB/Census data and a properly fitted implementation, a live bug (unpopulated geo-temporal partial-pooling shrinkage) that is now fixed and verified populated, and a numerical-instability finding (NB-GLM log-link blow-up on collinear multi-lag graph features, and its log1p/ridge fix) offered as a methodological contribution in its own right. SANGAM's headline synthetic-benchmark numbers should be read cautiously - both because no real Indian case-linkage dataset was available for validation and because a residual ceiling effect remains despite deliberate hardening - but its literature-consistent ablation ordering, its real (not synthetic) regional forecasting data foundation, and its transparent documentation of every synthetic assumption are offered as a more trustworthy basis for future real-data validation than an uncritical headline accuracy number would be.</w:t>
      </w:r>
    </w:p>
    <w:p>
      <w:r>
        <w:br w:type="page"/>
      </w:r>
    </w:p>
    <w:p>
      <w:pPr>
        <w:pStyle w:val="Heading1"/>
      </w:pPr>
      <w:r>
        <w:t>9. References</w:t>
      </w:r>
    </w:p>
    <w:p>
      <w:pPr>
        <w:ind w:left="432" w:hanging="432"/>
      </w:pPr>
      <w:r>
        <w:t>Albors-Zumel, C., Tizzoni, M., &amp; Campedelli, G. M. (2025). Deep learning for crime forecasting: The role of mobility at fine-grained spatiotemporal scales. Journal of Quantitative Criminology. https://doi.org/10.1007/s10940-025-09629-3</w:t>
      </w:r>
    </w:p>
    <w:p>
      <w:pPr>
        <w:ind w:left="432" w:hanging="432"/>
      </w:pPr>
      <w:r>
        <w:t>Alghamdi, R., &amp; Al-Dala'in, T. (2024). Towards spatio-temporal crime events prediction. Multimedia Tools and Applications.</w:t>
      </w:r>
    </w:p>
    <w:p>
      <w:pPr>
        <w:ind w:left="432" w:hanging="432"/>
      </w:pPr>
      <w:r>
        <w:t>Bandekar, S. R., &amp; Vijayalakshmi, C. (2020). Design and analysis of machine learning algorithms for the reduction of crime rates in India. Procedia Computer Science, 172, 122-127.</w:t>
      </w:r>
    </w:p>
    <w:p>
      <w:pPr>
        <w:ind w:left="432" w:hanging="432"/>
      </w:pPr>
      <w:r>
        <w:t>Birks, D., Coleman, A., &amp; Jackson, D. (2020). Unsupervised identification of crime problems from police free-text data. Crime Science, 9, 18.</w:t>
      </w:r>
    </w:p>
    <w:p>
      <w:pPr>
        <w:ind w:left="432" w:hanging="432"/>
      </w:pPr>
      <w:r>
        <w:t>Borg, A., &amp; Svensson, L. (2022). All burglaries are not the same: Predicting near-repeat burglaries in cities using modus operandi. ISPRS International Journal of Geo-Information, 11(3), 160.</w:t>
      </w:r>
    </w:p>
    <w:p>
      <w:pPr>
        <w:ind w:left="432" w:hanging="432"/>
      </w:pPr>
      <w:r>
        <w:t>Dutta, P., &amp; Banik, S. (2024). A novel generalized similarity measure under intuitionistic fuzzy environment and its applications to criminal investigation. Artificial Intelligence Review, 57, 69.</w:t>
      </w:r>
    </w:p>
    <w:p>
      <w:pPr>
        <w:ind w:left="432" w:hanging="432"/>
      </w:pPr>
      <w:r>
        <w:t>Halford, E. (2023). Linking foraging domestic burglary: An analysis of crimes committed within police-identified optimal forager patches. Journal of Police and Criminal Psychology, 38, 127-140.</w:t>
      </w:r>
    </w:p>
    <w:p>
      <w:pPr>
        <w:ind w:left="432" w:hanging="432"/>
      </w:pPr>
      <w:r>
        <w:t>Malleson, N., &amp; Andresen, M. A. (2015). Spatio-temporal crime hotspots and the ambient population. Crime Science, 4, 10.</w:t>
      </w:r>
    </w:p>
    <w:p>
      <w:pPr>
        <w:ind w:left="432" w:hanging="432"/>
      </w:pPr>
      <w:r>
        <w:t>Mathews, S., Binu, V. S., &amp; Guddattu, V. (2024). Detecting spatial and spatio-temporal clusters of rape in India, 2011-2020. GeoJournal, 89, 115.</w:t>
      </w:r>
    </w:p>
    <w:p>
      <w:pPr>
        <w:ind w:left="432" w:hanging="432"/>
      </w:pPr>
      <w:r>
        <w:t>Oatley, G., Zeleznikow, J., &amp; Ewart, B. (2005). Criminal networks and spatial density. In Proceedings of the 10th International Conference on Artificial Intelligence and Law (ICAIL '05). ACM.</w:t>
      </w:r>
    </w:p>
    <w:p>
      <w:pPr>
        <w:ind w:left="432" w:hanging="432"/>
      </w:pPr>
      <w:r>
        <w:t>Pooja, K., Guddattu, V., &amp; Rao, S. (2024). Crime against women in India: District-level risk estimation using small area estimation.</w:t>
      </w:r>
    </w:p>
    <w:p>
      <w:pPr>
        <w:ind w:left="432" w:hanging="432"/>
      </w:pPr>
      <w:r>
        <w:t>Shahmoradi, S., Alesheikh, A. A., Jafari, A., &amp; Lotfata, A. (2025). Hybrid ST-ResNet and LSTM approach for precise crime hotspot prediction.</w:t>
      </w:r>
    </w:p>
    <w:p>
      <w:pPr>
        <w:ind w:left="432" w:hanging="432"/>
      </w:pPr>
      <w:r>
        <w:t>Tang, [authors], (2026). Urban theft prediction via LLM-empowered spatiotemporal transformer.</w:t>
      </w:r>
    </w:p>
    <w:p>
      <w:pPr>
        <w:ind w:left="432" w:hanging="432"/>
      </w:pPr>
      <w:r>
        <w:t>Tekin, B., &amp; Kozat, S. S. (2022). Crime prediction with graph neural networks and multivariate normal distributions.</w:t>
      </w:r>
    </w:p>
    <w:p>
      <w:pPr>
        <w:ind w:left="432" w:hanging="432"/>
      </w:pPr>
      <w:r>
        <w:t>Tonkin, M., &amp; Woodhams, J. (2017). The feasibility of using crime scene behaviour to detect versatile serial offenders: An empirical test of behavioural consistency, distinctiveness, and discrimination accuracy. Legal and Criminological Psychology, 22, 99-115. https://doi.org/10.1111/lcrp.12085</w:t>
      </w:r>
    </w:p>
    <w:p>
      <w:pPr>
        <w:ind w:left="432" w:hanging="432"/>
      </w:pPr>
      <w:r>
        <w:t>Tonkin, M., Woodhams, J., Bull, R., Bond, J. W., &amp; Palmer, E. J. (2011). Linking different types of crime using geographical and temporal proximity. Criminal Justice and Behavior, 38, 1069-1088.</w:t>
      </w:r>
    </w:p>
    <w:p>
      <w:pPr>
        <w:ind w:left="432" w:hanging="432"/>
      </w:pPr>
      <w:r>
        <w:t>Tonkin, M., et al. (2025). Building the statistical evidence base for crime linkage decision-support tools with sexual offences.</w:t>
      </w:r>
    </w:p>
    <w:p>
      <w:pPr>
        <w:ind w:left="432" w:hanging="432"/>
      </w:pPr>
      <w:r>
        <w:t>Vivek, N., &amp; Prathap, B. R. (2023). Spatio-temporal crime analysis and forecasting on Twitter data using machine learning algorithms. SN Computer Science, 4, 383.</w:t>
      </w:r>
    </w:p>
    <w:p>
      <w:pPr>
        <w:ind w:left="432" w:hanging="432"/>
      </w:pPr>
      <w:r>
        <w:t>Woodhams, J., &amp; Labuschagne, G. (2012). A test of case linkage principles with solved and unsolved serial rapes. Journal of Police and Criminal Psychology, 27, 85-98. https://doi.org/10.1007/s11896-011-9091-1</w:t>
      </w:r>
    </w:p>
    <w:p>
      <w:pPr>
        <w:ind w:left="432" w:hanging="432"/>
      </w:pPr>
      <w:r>
        <w:t>Woodhams, J., et al. (2021). A descriptive analysis of the temporal and geographical proximities seen within UK series of sex offenses.</w:t>
      </w:r>
    </w:p>
    <w:p>
      <w:r>
        <w:rPr>
          <w:b w:val="0"/>
          <w:i w:val="0"/>
        </w:rPr>
      </w:r>
    </w:p>
    <w:p>
      <w:r>
        <w:rPr>
          <w:b w:val="0"/>
          <w:i/>
          <w:sz w:val="18"/>
        </w:rPr>
        <w:t>Data-source note: entries for Pooja et al. (2024), Tang et al. (2026), and Tonkin et al. (2025) are cited with the fullest author/venue detail independently verifiable from the source PDF content read during this project's literature review; where a journal name or full author list could not be confirmed from the available text, it is left unstated here rather than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