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100"/>
        <w:jc w:val="center"/>
      </w:pPr>
      <w:r>
        <w:drawing>
          <wp:inline distT="0" distB="0" distL="0" distR="0">
            <wp:extent cx="17145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238125"/>
                    </a:xfrm>
                    <a:prstGeom prst="rect">
                      <a:avLst/>
                    </a:prstGeom>
                  </pic:spPr>
                </pic:pic>
              </a:graphicData>
            </a:graphic>
          </wp:inline>
        </w:drawing>
      </w:r>
      <w:r>
        <w:rPr>
          <w:sz w:val="22"/>
          <w:szCs w:val="22"/>
        </w:rPr>
        <w:t xml:space="preserve">      </w:t>
      </w:r>
      <w:r>
        <w:drawing>
          <wp:inline distT="0" distB="0" distL="0" distR="0">
            <wp:extent cx="17145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238125"/>
                    </a:xfrm>
                    <a:prstGeom prst="rect">
                      <a:avLst/>
                    </a:prstGeom>
                  </pic:spPr>
                </pic:pic>
              </a:graphicData>
            </a:graphic>
          </wp:inline>
        </w:drawing>
      </w:r>
    </w:p>
    <w:p>
      <w:pPr>
        <w:spacing w:after="280"/>
        <w:jc w:val="center"/>
      </w:pPr>
      <w:r>
        <w:drawing>
          <wp:inline distT="0" distB="0" distL="0" distR="0">
            <wp:extent cx="4953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381250"/>
                    </a:xfrm>
                    <a:prstGeom prst="rect">
                      <a:avLst/>
                    </a:prstGeom>
                  </pic:spPr>
                </pic:pic>
              </a:graphicData>
            </a:graphic>
          </wp:inline>
        </w:drawing>
      </w:r>
    </w:p>
    <w:p>
      <w:pPr>
        <w:spacing w:after="120"/>
        <w:jc w:val="center"/>
      </w:pPr>
      <w:r>
        <w:rPr>
          <w:rFonts w:ascii="Arial" w:cs="Arial" w:eastAsia="Arial" w:hAnsi="Arial"/>
          <w:b/>
          <w:bCs/>
          <w:color w:val="2E4A7A"/>
          <w:sz w:val="28"/>
          <w:szCs w:val="28"/>
        </w:rPr>
        <w:t xml:space="preserve">Artificial Intelligence in the Contemporary World</w:t>
      </w:r>
    </w:p>
    <w:p>
      <w:pPr>
        <w:spacing w:after="80"/>
        <w:jc w:val="center"/>
      </w:pPr>
      <w:r>
        <w:rPr>
          <w:rFonts w:ascii="Arial" w:cs="Arial" w:eastAsia="Arial" w:hAnsi="Arial"/>
          <w:b/>
          <w:bCs/>
          <w:color w:val="555555"/>
          <w:sz w:val="24"/>
          <w:szCs w:val="24"/>
        </w:rPr>
        <w:t xml:space="preserve">Project Domain</w:t>
      </w:r>
    </w:p>
    <w:p>
      <w:pPr>
        <w:spacing w:after="200"/>
        <w:jc w:val="center"/>
      </w:pPr>
      <w:r>
        <w:rPr>
          <w:rFonts w:ascii="Arial" w:cs="Arial" w:eastAsia="Arial" w:hAnsi="Arial"/>
          <w:color w:val="666666"/>
          <w:sz w:val="22"/>
          <w:szCs w:val="22"/>
        </w:rPr>
        <w:t xml:space="preserve">Power BI</w:t>
      </w:r>
    </w:p>
    <w:p>
      <w:pPr>
        <w:spacing w:after="80"/>
        <w:jc w:val="center"/>
      </w:pPr>
      <w:r>
        <w:rPr>
          <w:rFonts w:ascii="Arial" w:cs="Arial" w:eastAsia="Arial" w:hAnsi="Arial"/>
          <w:sz w:val="22"/>
          <w:szCs w:val="22"/>
        </w:rPr>
        <w:t xml:space="preserve">A Collaborative Initiative</w:t>
      </w:r>
    </w:p>
    <w:p>
      <w:pPr>
        <w:spacing w:after="240"/>
        <w:jc w:val="center"/>
      </w:pPr>
      <w:r>
        <w:rPr>
          <w:rFonts w:ascii="Arial" w:cs="Arial" w:eastAsia="Arial" w:hAnsi="Arial"/>
          <w:i/>
          <w:iCs/>
          <w:color w:val="555555"/>
          <w:sz w:val="22"/>
          <w:szCs w:val="22"/>
        </w:rPr>
        <w:t xml:space="preserve">equipping students with practical skills in AI, Data Analytics, and Business Intelligence</w:t>
      </w:r>
    </w:p>
    <w:p>
      <w:pPr>
        <w:spacing w:after="60"/>
        <w:jc w:val="center"/>
      </w:pPr>
      <w:r>
        <w:drawing>
          <wp:inline distT="0" distB="0" distL="0" distR="0">
            <wp:extent cx="12382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457200"/>
                    </a:xfrm>
                    <a:prstGeom prst="rect">
                      <a:avLst/>
                    </a:prstGeom>
                  </pic:spPr>
                </pic:pic>
              </a:graphicData>
            </a:graphic>
          </wp:inline>
        </w:drawing>
      </w:r>
      <w:r>
        <w:rPr>
          <w:sz w:val="22"/>
          <w:szCs w:val="22"/>
        </w:rPr>
        <w:t xml:space="preserve">  </w:t>
      </w:r>
      <w:r>
        <w:drawing>
          <wp:inline distT="0" distB="0" distL="0" distR="0">
            <wp:extent cx="12382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457200"/>
                    </a:xfrm>
                    <a:prstGeom prst="rect">
                      <a:avLst/>
                    </a:prstGeom>
                  </pic:spPr>
                </pic:pic>
              </a:graphicData>
            </a:graphic>
          </wp:inline>
        </w:drawing>
      </w:r>
      <w:r>
        <w:rPr>
          <w:sz w:val="22"/>
          <w:szCs w:val="22"/>
        </w:rPr>
        <w:t xml:space="preserve">  </w:t>
      </w:r>
      <w:r>
        <w:drawing>
          <wp:inline distT="0" distB="0" distL="0" distR="0">
            <wp:extent cx="1238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428625"/>
                    </a:xfrm>
                    <a:prstGeom prst="rect">
                      <a:avLst/>
                    </a:prstGeom>
                  </pic:spPr>
                </pic:pic>
              </a:graphicData>
            </a:graphic>
          </wp:inline>
        </w:drawing>
      </w:r>
    </w:p>
    <w:p>
      <w:pPr>
        <w:spacing w:after="240"/>
        <w:jc w:val="center"/>
      </w:pPr>
      <w:r>
        <w:rPr>
          <w:rFonts w:ascii="Arial" w:cs="Arial" w:eastAsia="Arial" w:hAnsi="Arial"/>
          <w:i/>
          <w:iCs/>
          <w:sz w:val="22"/>
          <w:szCs w:val="22"/>
        </w:rPr>
        <w:t xml:space="preserve">by:</w:t>
      </w:r>
    </w:p>
    <w:p>
      <w:pPr>
        <w:spacing w:after="100"/>
        <w:jc w:val="center"/>
      </w:pPr>
      <w:r>
        <w:rPr>
          <w:rFonts w:ascii="Arial" w:cs="Arial" w:eastAsia="Arial" w:hAnsi="Arial"/>
          <w:b/>
          <w:bCs/>
          <w:sz w:val="24"/>
          <w:szCs w:val="24"/>
        </w:rPr>
        <w:t xml:space="preserve">Institution: [Institution / College Name]</w:t>
      </w:r>
    </w:p>
    <w:p>
      <w:pPr>
        <w:spacing w:after="200"/>
        <w:jc w:val="center"/>
      </w:pPr>
      <w:r>
        <w:rPr>
          <w:rFonts w:ascii="Arial" w:cs="Arial" w:eastAsia="Arial" w:hAnsi="Arial"/>
          <w:b/>
          <w:bCs/>
          <w:color w:val="2E4A7A"/>
          <w:sz w:val="24"/>
          <w:szCs w:val="24"/>
        </w:rPr>
        <w:t xml:space="preserve">Year - 2026</w:t>
      </w:r>
    </w:p>
    <w:p>
      <w:r>
        <w:br w:type="page"/>
      </w:r>
    </w:p>
    <w:p>
      <w:pPr>
        <w:pStyle w:val="Heading1"/>
        <w:pBdr>
          <w:bottom w:val="single" w:color="2E4A7A" w:sz="6" w:space="4"/>
        </w:pBdr>
        <w:spacing w:after="180" w:before="320"/>
      </w:pPr>
      <w:r>
        <w:rPr>
          <w:rFonts w:ascii="Arial" w:cs="Arial" w:eastAsia="Arial" w:hAnsi="Arial"/>
          <w:b/>
          <w:bCs/>
          <w:color w:val="2E4A7A"/>
          <w:sz w:val="30"/>
          <w:szCs w:val="30"/>
        </w:rPr>
        <w:t xml:space="preserve">1. Project Title</w:t>
      </w:r>
    </w:p>
    <w:p>
      <w:pPr>
        <w:spacing w:after="80" w:before="80"/>
        <w:jc w:val="both"/>
      </w:pPr>
      <w:r>
        <w:rPr>
          <w:rFonts w:ascii="Arial" w:cs="Arial" w:eastAsia="Arial" w:hAnsi="Arial"/>
          <w:sz w:val="22"/>
          <w:szCs w:val="22"/>
        </w:rPr>
        <w:t xml:space="preserve">Pacific Asia Supply Chain Analytics Dashboard</w:t>
      </w:r>
    </w:p>
    <w:p>
      <w:pPr>
        <w:spacing w:after="80" w:before="80"/>
      </w:pPr>
      <w:r>
        <w:t xml:space="preserve"/>
      </w:r>
    </w:p>
    <w:p>
      <w:pPr>
        <w:spacing w:after="60" w:before="60"/>
      </w:pPr>
      <w:r>
        <w:rPr>
          <w:rFonts w:ascii="Arial" w:cs="Arial" w:eastAsia="Arial" w:hAnsi="Arial"/>
          <w:b/>
          <w:bCs/>
          <w:sz w:val="22"/>
          <w:szCs w:val="22"/>
        </w:rPr>
        <w:t xml:space="preserve">Project Domain: </w:t>
      </w:r>
      <w:r>
        <w:rPr>
          <w:rFonts w:ascii="Arial" w:cs="Arial" w:eastAsia="Arial" w:hAnsi="Arial"/>
          <w:sz w:val="22"/>
          <w:szCs w:val="22"/>
        </w:rPr>
        <w:t xml:space="preserve">Power BI</w:t>
      </w:r>
    </w:p>
    <w:p>
      <w:pPr>
        <w:spacing w:after="60" w:before="60"/>
      </w:pPr>
      <w:r>
        <w:rPr>
          <w:rFonts w:ascii="Arial" w:cs="Arial" w:eastAsia="Arial" w:hAnsi="Arial"/>
          <w:b/>
          <w:bCs/>
          <w:sz w:val="22"/>
          <w:szCs w:val="22"/>
        </w:rPr>
        <w:t xml:space="preserve">Team Members: </w:t>
      </w:r>
      <w:r>
        <w:rPr>
          <w:rFonts w:ascii="Arial" w:cs="Arial" w:eastAsia="Arial" w:hAnsi="Arial"/>
          <w:sz w:val="22"/>
          <w:szCs w:val="22"/>
        </w:rPr>
        <w:t xml:space="preserve">[Student Name(s)]</w:t>
      </w:r>
    </w:p>
    <w:p>
      <w:pPr>
        <w:spacing w:after="60" w:before="60"/>
      </w:pPr>
      <w:r>
        <w:rPr>
          <w:rFonts w:ascii="Arial" w:cs="Arial" w:eastAsia="Arial" w:hAnsi="Arial"/>
          <w:b/>
          <w:bCs/>
          <w:sz w:val="22"/>
          <w:szCs w:val="22"/>
        </w:rPr>
        <w:t xml:space="preserve">Institution: </w:t>
      </w:r>
      <w:r>
        <w:rPr>
          <w:rFonts w:ascii="Arial" w:cs="Arial" w:eastAsia="Arial" w:hAnsi="Arial"/>
          <w:sz w:val="22"/>
          <w:szCs w:val="22"/>
        </w:rPr>
        <w:t xml:space="preserve">[Institution / College Name]</w:t>
      </w:r>
    </w:p>
    <w:p>
      <w:pPr>
        <w:spacing w:after="60" w:before="60"/>
      </w:pPr>
      <w:r>
        <w:rPr>
          <w:rFonts w:ascii="Arial" w:cs="Arial" w:eastAsia="Arial" w:hAnsi="Arial"/>
          <w:b/>
          <w:bCs/>
          <w:sz w:val="22"/>
          <w:szCs w:val="22"/>
        </w:rPr>
        <w:t xml:space="preserve">Guide / Supervisor: </w:t>
      </w:r>
      <w:r>
        <w:rPr>
          <w:rFonts w:ascii="Arial" w:cs="Arial" w:eastAsia="Arial" w:hAnsi="Arial"/>
          <w:sz w:val="22"/>
          <w:szCs w:val="22"/>
        </w:rPr>
        <w:t xml:space="preserve">[Guide Name]</w:t>
      </w:r>
    </w:p>
    <w:p>
      <w:pPr>
        <w:pStyle w:val="Heading1"/>
        <w:pBdr>
          <w:bottom w:val="single" w:color="2E4A7A" w:sz="6" w:space="4"/>
        </w:pBdr>
        <w:spacing w:after="180" w:before="320"/>
      </w:pPr>
      <w:r>
        <w:rPr>
          <w:rFonts w:ascii="Arial" w:cs="Arial" w:eastAsia="Arial" w:hAnsi="Arial"/>
          <w:b/>
          <w:bCs/>
          <w:color w:val="2E4A7A"/>
          <w:sz w:val="30"/>
          <w:szCs w:val="30"/>
        </w:rPr>
        <w:t xml:space="preserve">2.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57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Dataset Name</w:t>
            </w:r>
          </w:p>
        </w:tc>
        <w:tc>
          <w:tcPr>
            <w:tcW w:type="dxa" w:w="5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Pacific Asia Supply Chain Orders (CLEAN)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Source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Kaggle / Edunet-provided supply chain e-commerce dataset</w:t>
            </w:r>
          </w:p>
        </w:tc>
      </w:tr>
      <w:tr>
        <w:tc>
          <w:tcPr>
            <w:tcW w:type="dxa" w:w="3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File Name</w:t>
            </w:r>
          </w:p>
        </w:tc>
        <w:tc>
          <w:tcPr>
            <w:tcW w:type="dxa" w:w="5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Pacific_Asia_CLEAN.xlsx</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Sheet 1 (Orders_CLEAN)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2,263 rows × 48 columns — cleaned order-level transactional data</w:t>
            </w:r>
          </w:p>
        </w:tc>
      </w:tr>
      <w:tr>
        <w:tc>
          <w:tcPr>
            <w:tcW w:type="dxa" w:w="3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Sheet 2 (RegionalIntelligence)</w:t>
            </w:r>
          </w:p>
        </w:tc>
        <w:tc>
          <w:tcPr>
            <w:tcW w:type="dxa" w:w="5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20 rows × 4 columns — GDP, urbanization, logistics scores by region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Sheet 3 (Cleaning_Report)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cleaning audit log — 7 issue categories, all resolved</w:t>
            </w:r>
          </w:p>
        </w:tc>
      </w:tr>
      <w:tr>
        <w:tc>
          <w:tcPr>
            <w:tcW w:type="dxa" w:w="3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Date Range</w:t>
            </w:r>
          </w:p>
        </w:tc>
        <w:tc>
          <w:tcPr>
            <w:tcW w:type="dxa" w:w="5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December 2017 to December 2018</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Market Coverage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Pacific Asia: Southeast Asia, Oceania, Eastern Asia, South Asia</w:t>
            </w:r>
          </w:p>
        </w:tc>
      </w:tr>
      <w:tr>
        <w:tc>
          <w:tcPr>
            <w:tcW w:type="dxa" w:w="3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Key Fields</w:t>
            </w:r>
          </w:p>
        </w:tc>
        <w:tc>
          <w:tcPr>
            <w:tcW w:type="dxa" w:w="5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Sales, Profit, Delivery Status, Late_delivery_risk, Shipping Mode, Customer Segment, Order Region, Order Status, Product Name, Category Name, GDP, Urbanization Index, Logistics Score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Quality Post-Clean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missing values, 0 duplicates, 7 categories of issues resolved</w:t>
            </w:r>
          </w:p>
        </w:tc>
      </w:tr>
    </w:tbl>
    <w:p>
      <w:pPr>
        <w:pStyle w:val="Heading1"/>
        <w:pBdr>
          <w:bottom w:val="single" w:color="2E4A7A" w:sz="6" w:space="4"/>
        </w:pBdr>
        <w:spacing w:after="180" w:before="320"/>
      </w:pPr>
      <w:r>
        <w:rPr>
          <w:rFonts w:ascii="Arial" w:cs="Arial" w:eastAsia="Arial" w:hAnsi="Arial"/>
          <w:b/>
          <w:bCs/>
          <w:color w:val="2E4A7A"/>
          <w:sz w:val="30"/>
          <w:szCs w:val="30"/>
        </w:rPr>
        <w:t xml:space="preserve">3. Problem Statement</w:t>
      </w:r>
    </w:p>
    <w:p>
      <w:pPr>
        <w:spacing w:after="80" w:before="80"/>
        <w:jc w:val="both"/>
      </w:pPr>
      <w:r>
        <w:rPr>
          <w:rFonts w:ascii="Arial" w:cs="Arial" w:eastAsia="Arial" w:hAnsi="Arial"/>
          <w:sz w:val="22"/>
          <w:szCs w:val="22"/>
        </w:rPr>
        <w:t xml:space="preserve">Organizations managing supply chain and e-commerce operations in the Pacific Asia region face significant operational challenges that, if unaddressed, lead to revenue loss, customer dissatisfaction, and competitive disadvantage. This project identifies and addresses the following core business problems:</w:t>
      </w:r>
    </w:p>
    <w:p>
      <w:pPr>
        <w:spacing w:after="80" w:before="80"/>
      </w:pPr>
      <w:r>
        <w:t xml:space="preserve"/>
      </w:r>
    </w:p>
    <w:p>
      <w:pPr>
        <w:pStyle w:val="Heading2"/>
        <w:spacing w:after="120" w:before="220"/>
      </w:pPr>
      <w:r>
        <w:rPr>
          <w:rFonts w:ascii="Arial" w:cs="Arial" w:eastAsia="Arial" w:hAnsi="Arial"/>
          <w:b/>
          <w:bCs/>
          <w:color w:val="1F5C99"/>
          <w:sz w:val="24"/>
          <w:szCs w:val="24"/>
        </w:rPr>
        <w:t xml:space="preserve">3.1 Domain Background</w:t>
      </w:r>
    </w:p>
    <w:p>
      <w:pPr>
        <w:spacing w:after="80" w:before="80"/>
        <w:jc w:val="both"/>
      </w:pPr>
      <w:r>
        <w:rPr>
          <w:rFonts w:ascii="Arial" w:cs="Arial" w:eastAsia="Arial" w:hAnsi="Arial"/>
          <w:sz w:val="22"/>
          <w:szCs w:val="22"/>
        </w:rPr>
        <w:t xml:space="preserve">The Pacific Asia region encompasses economically diverse sub-regions — from high-GDP, highly urbanized markets like Oceania (GDP $55,000 per capita, urbanization 0.81) to lower-income markets like South Asia (GDP $6,000, urbanization 0.36). This diversity creates complex supply chain requirements: different customer expectations, variable logistics infrastructure quality, and differing price sensitivity levels that must be managed simultaneously. The dataset covers four sub-regions — Southeast Asia, Oceania, Eastern Asia, and South Asia — reflecting the operational complexity of a multi-market supply chain.</w:t>
      </w:r>
    </w:p>
    <w:p>
      <w:pPr>
        <w:pStyle w:val="Heading2"/>
        <w:spacing w:after="120" w:before="220"/>
      </w:pPr>
      <w:r>
        <w:rPr>
          <w:rFonts w:ascii="Arial" w:cs="Arial" w:eastAsia="Arial" w:hAnsi="Arial"/>
          <w:b/>
          <w:bCs/>
          <w:color w:val="1F5C99"/>
          <w:sz w:val="24"/>
          <w:szCs w:val="24"/>
        </w:rPr>
        <w:t xml:space="preserve">3.2 Key Problems Identified</w:t>
      </w:r>
    </w:p>
    <w:p>
      <w:pPr>
        <w:pStyle w:val="ListParagraph"/>
        <w:numPr>
          <w:ilvl w:val="0"/>
          <w:numId w:val="2"/>
        </w:numPr>
        <w:spacing w:after="60" w:before="60"/>
      </w:pPr>
      <w:r>
        <w:rPr>
          <w:rFonts w:ascii="Arial" w:cs="Arial" w:eastAsia="Arial" w:hAnsi="Arial"/>
          <w:sz w:val="22"/>
          <w:szCs w:val="22"/>
        </w:rPr>
        <w:t xml:space="preserve">Delivery Failure: 56.6% of orders (1,281 of 2,263) are at risk of late delivery. This is the most critical operational problem in the dataset and directly impacts customer retention and Net Promoter Score.</w:t>
      </w:r>
    </w:p>
    <w:p>
      <w:pPr>
        <w:pStyle w:val="ListParagraph"/>
        <w:numPr>
          <w:ilvl w:val="0"/>
          <w:numId w:val="2"/>
        </w:numPr>
        <w:spacing w:after="60" w:before="60"/>
      </w:pPr>
      <w:r>
        <w:rPr>
          <w:rFonts w:ascii="Arial" w:cs="Arial" w:eastAsia="Arial" w:hAnsi="Arial"/>
          <w:sz w:val="22"/>
          <w:szCs w:val="22"/>
        </w:rPr>
        <w:t xml:space="preserve">Shipping Mode Paradox: First Class shipping — the premium delivery tier — has a 97.5% late delivery rate, making it the worst-performing mode. Second Class follows at 78.7%. This counterintuitive pattern suggests systemic carrier or routing failures in premium shipping tiers.</w:t>
      </w:r>
    </w:p>
    <w:p>
      <w:pPr>
        <w:pStyle w:val="ListParagraph"/>
        <w:numPr>
          <w:ilvl w:val="0"/>
          <w:numId w:val="2"/>
        </w:numPr>
        <w:spacing w:after="60" w:before="60"/>
      </w:pPr>
      <w:r>
        <w:rPr>
          <w:rFonts w:ascii="Arial" w:cs="Arial" w:eastAsia="Arial" w:hAnsi="Arial"/>
          <w:sz w:val="22"/>
          <w:szCs w:val="22"/>
        </w:rPr>
        <w:t xml:space="preserve">Regional Profit Imbalance: Despite Southeast Asia and Oceania generating similar revenues ($108,921 and $108,624 respectively), Oceania produces $13,260 profit vs Southeast Asia's $12,607. Eastern Asia underperforms significantly at only $4,031 profit — suggesting structural cost inefficiencies or excessive discounting in that market.</w:t>
      </w:r>
    </w:p>
    <w:p>
      <w:pPr>
        <w:pStyle w:val="ListParagraph"/>
        <w:numPr>
          <w:ilvl w:val="0"/>
          <w:numId w:val="2"/>
        </w:numPr>
        <w:spacing w:after="60" w:before="60"/>
      </w:pPr>
      <w:r>
        <w:rPr>
          <w:rFonts w:ascii="Arial" w:cs="Arial" w:eastAsia="Arial" w:hAnsi="Arial"/>
          <w:sz w:val="22"/>
          <w:szCs w:val="22"/>
        </w:rPr>
        <w:t xml:space="preserve">Discount-Driven Value Destruction: Men's Clothing exhibits a -17.9% average profit ratio, indicating that promotional discounting is generating orders at a financial loss. The scatter plot analysis confirms a clear negative correlation between discount rate and profit ratio across the dataset.</w:t>
      </w:r>
    </w:p>
    <w:p>
      <w:pPr>
        <w:pStyle w:val="ListParagraph"/>
        <w:numPr>
          <w:ilvl w:val="0"/>
          <w:numId w:val="2"/>
        </w:numPr>
        <w:spacing w:after="60" w:before="60"/>
      </w:pPr>
      <w:r>
        <w:rPr>
          <w:rFonts w:ascii="Arial" w:cs="Arial" w:eastAsia="Arial" w:hAnsi="Arial"/>
          <w:sz w:val="22"/>
          <w:szCs w:val="22"/>
        </w:rPr>
        <w:t xml:space="preserve">Compliance and Fraud Risk: 45 orders are flagged as SUSPECTED_FRAUD and 48 as CANCELED — representing both revenue loss and regulatory compliance risk that currently lacks systematic monitoring.</w:t>
      </w:r>
    </w:p>
    <w:p>
      <w:pPr>
        <w:pStyle w:val="ListParagraph"/>
        <w:numPr>
          <w:ilvl w:val="0"/>
          <w:numId w:val="2"/>
        </w:numPr>
        <w:spacing w:after="60" w:before="60"/>
      </w:pPr>
      <w:r>
        <w:rPr>
          <w:rFonts w:ascii="Arial" w:cs="Arial" w:eastAsia="Arial" w:hAnsi="Arial"/>
          <w:sz w:val="22"/>
          <w:szCs w:val="22"/>
        </w:rPr>
        <w:t xml:space="preserve">Underutilised Economic Context: Regional economic data (GDP per capita, urbanization index, logistics scores) is available but not integrated into operational decision-making — limiting the ability to tailor pricing, shipping, and assortment strategies to market maturity.</w:t>
      </w:r>
    </w:p>
    <w:p>
      <w:pPr>
        <w:pStyle w:val="Heading2"/>
        <w:spacing w:after="120" w:before="220"/>
      </w:pPr>
      <w:r>
        <w:rPr>
          <w:rFonts w:ascii="Arial" w:cs="Arial" w:eastAsia="Arial" w:hAnsi="Arial"/>
          <w:b/>
          <w:bCs/>
          <w:color w:val="1F5C99"/>
          <w:sz w:val="24"/>
          <w:szCs w:val="24"/>
        </w:rPr>
        <w:t xml:space="preserve">3.3 Real-World Significance</w:t>
      </w:r>
    </w:p>
    <w:p>
      <w:pPr>
        <w:spacing w:after="80" w:before="80"/>
        <w:jc w:val="both"/>
      </w:pPr>
      <w:r>
        <w:rPr>
          <w:rFonts w:ascii="Arial" w:cs="Arial" w:eastAsia="Arial" w:hAnsi="Arial"/>
          <w:sz w:val="22"/>
          <w:szCs w:val="22"/>
        </w:rPr>
        <w:t xml:space="preserve">Without structured data analysis and visualization, supply chain managers cannot identify which regions, shipping modes, or product categories are destroying value. Decision-makers rely on intuition rather than evidence, leading to misallocated investment, continued delivery failures, and missed profitability opportunities. This project directly addresses this gap by building a comprehensive, interactive analytical platform that transforms raw transactional data into actionable business intelligence.</w:t>
      </w:r>
    </w:p>
    <w:p>
      <w:pPr>
        <w:pStyle w:val="Heading1"/>
        <w:pBdr>
          <w:bottom w:val="single" w:color="2E4A7A" w:sz="6" w:space="4"/>
        </w:pBdr>
        <w:spacing w:after="180" w:before="320"/>
      </w:pPr>
      <w:r>
        <w:rPr>
          <w:rFonts w:ascii="Arial" w:cs="Arial" w:eastAsia="Arial" w:hAnsi="Arial"/>
          <w:b/>
          <w:bCs/>
          <w:color w:val="2E4A7A"/>
          <w:sz w:val="30"/>
          <w:szCs w:val="30"/>
        </w:rPr>
        <w:t xml:space="preserve">4. Objectives</w:t>
      </w:r>
    </w:p>
    <w:p>
      <w:pPr>
        <w:pStyle w:val="ListParagraph"/>
        <w:numPr>
          <w:ilvl w:val="0"/>
          <w:numId w:val="3"/>
        </w:numPr>
        <w:spacing w:after="60" w:before="60"/>
      </w:pPr>
      <w:r>
        <w:rPr>
          <w:rFonts w:ascii="Arial" w:cs="Arial" w:eastAsia="Arial" w:hAnsi="Arial"/>
          <w:sz w:val="22"/>
          <w:szCs w:val="22"/>
        </w:rPr>
        <w:t xml:space="preserve">To collect, explore, and document the structure, fields, data types, and quality issues of the Pacific Asia supply chain dataset (2,263 rows × 48 columns).</w:t>
      </w:r>
    </w:p>
    <w:p>
      <w:pPr>
        <w:pStyle w:val="ListParagraph"/>
        <w:numPr>
          <w:ilvl w:val="0"/>
          <w:numId w:val="3"/>
        </w:numPr>
        <w:spacing w:after="60" w:before="60"/>
      </w:pPr>
      <w:r>
        <w:rPr>
          <w:rFonts w:ascii="Arial" w:cs="Arial" w:eastAsia="Arial" w:hAnsi="Arial"/>
          <w:sz w:val="22"/>
          <w:szCs w:val="22"/>
        </w:rPr>
        <w:t xml:space="preserve">To clean and preprocess the raw data by standardising date formats, correcting 145 discount calculation errors, filling 2 missing values, converting data types, and validating precision across all numeric columns.</w:t>
      </w:r>
    </w:p>
    <w:p>
      <w:pPr>
        <w:pStyle w:val="ListParagraph"/>
        <w:numPr>
          <w:ilvl w:val="0"/>
          <w:numId w:val="3"/>
        </w:numPr>
        <w:spacing w:after="60" w:before="60"/>
      </w:pPr>
      <w:r>
        <w:rPr>
          <w:rFonts w:ascii="Arial" w:cs="Arial" w:eastAsia="Arial" w:hAnsi="Arial"/>
          <w:sz w:val="22"/>
          <w:szCs w:val="22"/>
        </w:rPr>
        <w:t xml:space="preserve">To build a comprehensive DAX measure library in Power BI computing KPIs including Total Sales ($390,818.68), Total Profit ($39,501.77), Late Delivery % (56.6%), Profit Ratio, Order Count, Fraud Count, and financial loss impact values.</w:t>
      </w:r>
    </w:p>
    <w:p>
      <w:pPr>
        <w:pStyle w:val="ListParagraph"/>
        <w:numPr>
          <w:ilvl w:val="0"/>
          <w:numId w:val="3"/>
        </w:numPr>
        <w:spacing w:after="60" w:before="60"/>
      </w:pPr>
      <w:r>
        <w:rPr>
          <w:rFonts w:ascii="Arial" w:cs="Arial" w:eastAsia="Arial" w:hAnsi="Arial"/>
          <w:sz w:val="22"/>
          <w:szCs w:val="22"/>
        </w:rPr>
        <w:t xml:space="preserve">To construct a nine-page interactive Power BI dashboard covering: Executive Summary, Regional Intelligence, Product &amp; Category Analysis, Shipping &amp; Delivery Performance, Customer Analytics, Risk &amp; Compliance, Root Cause Analysis, Order Detail Drill-Through, and Business Insights.</w:t>
      </w:r>
    </w:p>
    <w:p>
      <w:pPr>
        <w:pStyle w:val="ListParagraph"/>
        <w:numPr>
          <w:ilvl w:val="0"/>
          <w:numId w:val="3"/>
        </w:numPr>
        <w:spacing w:after="60" w:before="60"/>
      </w:pPr>
      <w:r>
        <w:rPr>
          <w:rFonts w:ascii="Arial" w:cs="Arial" w:eastAsia="Arial" w:hAnsi="Arial"/>
          <w:sz w:val="22"/>
          <w:szCs w:val="22"/>
        </w:rPr>
        <w:t xml:space="preserve">To integrate Power BI's AI-powered features — Key Influencers visual, Smart Narrative cards, and Decomposition Tree — to automate the identification and communication of key business drivers and risk factors.</w:t>
      </w:r>
    </w:p>
    <w:p>
      <w:pPr>
        <w:pStyle w:val="ListParagraph"/>
        <w:numPr>
          <w:ilvl w:val="0"/>
          <w:numId w:val="3"/>
        </w:numPr>
        <w:spacing w:after="60" w:before="60"/>
      </w:pPr>
      <w:r>
        <w:rPr>
          <w:rFonts w:ascii="Arial" w:cs="Arial" w:eastAsia="Arial" w:hAnsi="Arial"/>
          <w:sz w:val="22"/>
          <w:szCs w:val="22"/>
        </w:rPr>
        <w:t xml:space="preserve">To derive actionable business recommendations for supply chain optimization including shipping mode restructuring, regional pricing strategy, category management, and fraud mitigation, based on dashboard findings.</w:t>
      </w:r>
    </w:p>
    <w:p>
      <w:pPr>
        <w:pStyle w:val="ListParagraph"/>
        <w:numPr>
          <w:ilvl w:val="0"/>
          <w:numId w:val="3"/>
        </w:numPr>
        <w:spacing w:after="60" w:before="60"/>
      </w:pPr>
      <w:r>
        <w:rPr>
          <w:rFonts w:ascii="Arial" w:cs="Arial" w:eastAsia="Arial" w:hAnsi="Arial"/>
          <w:sz w:val="22"/>
          <w:szCs w:val="22"/>
        </w:rPr>
        <w:t xml:space="preserve">To document the complete project process, upload all files to GitHub, and record a demonstration video for submission.</w:t>
      </w:r>
    </w:p>
    <w:p>
      <w:pPr>
        <w:pStyle w:val="Heading1"/>
        <w:pBdr>
          <w:bottom w:val="single" w:color="2E4A7A" w:sz="6" w:space="4"/>
        </w:pBdr>
        <w:spacing w:after="180" w:before="320"/>
      </w:pPr>
      <w:r>
        <w:rPr>
          <w:rFonts w:ascii="Arial" w:cs="Arial" w:eastAsia="Arial" w:hAnsi="Arial"/>
          <w:b/>
          <w:bCs/>
          <w:color w:val="2E4A7A"/>
          <w:sz w:val="30"/>
          <w:szCs w:val="30"/>
        </w:rPr>
        <w:t xml:space="preserve">5. Methodology /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
        <w:gridCol w:w="2016"/>
        <w:gridCol w:w="6840"/>
      </w:tblGrid>
      <w:tr>
        <w:trPr>
          <w:tblHeader/>
        </w:trPr>
        <w:tc>
          <w:tcPr>
            <w:tcW w:type="dxa" w:w="504"/>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016"/>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684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504"/>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1</w:t>
            </w:r>
          </w:p>
        </w:tc>
        <w:tc>
          <w:tcPr>
            <w:tcW w:type="dxa" w:w="2016"/>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Data Collection &amp; Exploration</w:t>
            </w:r>
          </w:p>
        </w:tc>
        <w:tc>
          <w:tcPr>
            <w:tcW w:type="dxa" w:w="684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The Pacific Asia supply chain dataset (CSV/Excel) was obtained from Kaggle/Edunet. The dataset structure was explored: 2,263 rows, 48 columns across Orders_CLEAN sheet, and a 20-row RegionalIntelligence lookup table with GDP, urbanization, and logistics scores. Field names, data types, missing values, and data quality issues were catalogued before cleaning began.</w:t>
            </w:r>
          </w:p>
        </w:tc>
      </w:tr>
      <w:tr>
        <w:tc>
          <w:tcPr>
            <w:tcW w:type="dxa" w:w="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Cleaning &amp; Preprocessing</w:t>
            </w:r>
          </w:p>
        </w:tc>
        <w:tc>
          <w:tcPr>
            <w:tcW w:type="dxa" w:w="6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Seven categories of data quality issues were resolved in Excel/Power Query: (1) Date standardization — unifying mixed formats to YYYY-MM-DD HH:MM:SS; (2) Shipping date correction — fixing 1,024 month/day swapped entries; (3) Missing value fill — 2 blank Customer Lname values resolved; (4) Data type correction — Customer Zipcode from integer to zero-padded string; (5) Discount recalculation — 145 rows where Discount ≠ Price × Rate were corrected; (6) Numeric precision — 2dp for currency, 4dp for ratios; (7) Whitespace stripping — applied to all text columns.</w:t>
            </w:r>
          </w:p>
        </w:tc>
      </w:tr>
      <w:tr>
        <w:tc>
          <w:tcPr>
            <w:tcW w:type="dxa" w:w="504"/>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3</w:t>
            </w:r>
          </w:p>
        </w:tc>
        <w:tc>
          <w:tcPr>
            <w:tcW w:type="dxa" w:w="2016"/>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Analysis &amp; DAX Measure Development</w:t>
            </w:r>
          </w:p>
        </w:tc>
        <w:tc>
          <w:tcPr>
            <w:tcW w:type="dxa" w:w="684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In Power BI Desktop, a relationship was established between Orders_CLEAN and RegionalIntelligence via Order Region key. A dedicated Measures table was created containing 20+ DAX measures: Total Sales, Total Profit, Late Delivery %, Profit Ratio, Order Count, Customer Count, Fraud Count, Loss Orders, Canceled Orders, and financial loss impact metrics. A Risk Table was created to support the Risk Reduction Waterfall chart.</w:t>
            </w:r>
          </w:p>
        </w:tc>
      </w:tr>
      <w:tr>
        <w:tc>
          <w:tcPr>
            <w:tcW w:type="dxa" w:w="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 Build &amp; AI Integration</w:t>
            </w:r>
          </w:p>
        </w:tc>
        <w:tc>
          <w:tcPr>
            <w:tcW w:type="dxa" w:w="6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Nine interactive dashboard pages were built: Executive Summary (KPI cards, monthly trend chart, order status donut, segment-mode bar chart), Regional Intelligence (GDP scatter, late delivery funnel, ribbon chart, map), Product &amp; Category (treemap, combo chart, discount-profit scatter, department profit chart), Shipping &amp; Delivery (gauge, planned vs actual chart, stacked delivery status chart, map), Customer Analytics (segment donut, city bar chart, payment line chart, segment-category ribbon), Risk &amp; Compliance (fraud/cancellation KPI cards, risk waterfall, discount-profit scatter), Root Cause (decomposition tree for late delivery %), Order Detail (drill-through table), and Business Insights (Key Influencers AI visual, Smart Narrative cards, financial loss KPI cards).</w:t>
            </w:r>
          </w:p>
        </w:tc>
      </w:tr>
      <w:tr>
        <w:tc>
          <w:tcPr>
            <w:tcW w:type="dxa" w:w="504"/>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5</w:t>
            </w:r>
          </w:p>
        </w:tc>
        <w:tc>
          <w:tcPr>
            <w:tcW w:type="dxa" w:w="2016"/>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Documentation &amp; Submission</w:t>
            </w:r>
          </w:p>
        </w:tc>
        <w:tc>
          <w:tcPr>
            <w:tcW w:type="dxa" w:w="684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Project synopsis and full report written following AICW Fellowship templates. All project files (cleaned Excel dataset, Power BI .pbix file, report, synopsis) uploaded to GitHub repository. A video demonstration of the dashboard was recorded showing interactive filtering, drill-through, and AI insight features.</w:t>
            </w:r>
          </w:p>
        </w:tc>
      </w:tr>
    </w:tbl>
    <w:p>
      <w:pPr>
        <w:pStyle w:val="Heading1"/>
        <w:pBdr>
          <w:bottom w:val="single" w:color="2E4A7A" w:sz="6" w:space="4"/>
        </w:pBdr>
        <w:spacing w:after="180" w:before="320"/>
      </w:pPr>
      <w:r>
        <w:rPr>
          <w:rFonts w:ascii="Arial" w:cs="Arial" w:eastAsia="Arial" w:hAnsi="Arial"/>
          <w:b/>
          <w:bCs/>
          <w:color w:val="2E4A7A"/>
          <w:sz w:val="30"/>
          <w:szCs w:val="30"/>
        </w:rPr>
        <w:t xml:space="preserve">6. Resources and Timeline</w:t>
      </w:r>
    </w:p>
    <w:p>
      <w:pPr>
        <w:pStyle w:val="Heading2"/>
        <w:spacing w:after="120" w:before="220"/>
      </w:pPr>
      <w:r>
        <w:rPr>
          <w:rFonts w:ascii="Arial" w:cs="Arial" w:eastAsia="Arial" w:hAnsi="Arial"/>
          <w:b/>
          <w:bCs/>
          <w:color w:val="1F5C99"/>
          <w:sz w:val="24"/>
          <w:szCs w:val="24"/>
        </w:rPr>
        <w:t xml:space="preserve">A. Hardware &amp; Software Requirements</w:t>
      </w:r>
    </w:p>
    <w:p>
      <w:pPr>
        <w:pStyle w:val="ListParagraph"/>
        <w:numPr>
          <w:ilvl w:val="0"/>
          <w:numId w:val="2"/>
        </w:numPr>
        <w:spacing w:after="60" w:before="60"/>
      </w:pPr>
      <w:r>
        <w:rPr>
          <w:rFonts w:ascii="Arial" w:cs="Arial" w:eastAsia="Arial" w:hAnsi="Arial"/>
          <w:sz w:val="22"/>
          <w:szCs w:val="22"/>
        </w:rPr>
        <w:t xml:space="preserve">Laptop or PC — Intel Core i5 or higher, minimum 8 GB RAM (16 GB recommended for Power BI data modelling)</w:t>
      </w:r>
    </w:p>
    <w:p>
      <w:pPr>
        <w:pStyle w:val="ListParagraph"/>
        <w:numPr>
          <w:ilvl w:val="0"/>
          <w:numId w:val="2"/>
        </w:numPr>
        <w:spacing w:after="60" w:before="60"/>
      </w:pPr>
      <w:r>
        <w:rPr>
          <w:rFonts w:ascii="Arial" w:cs="Arial" w:eastAsia="Arial" w:hAnsi="Arial"/>
          <w:sz w:val="22"/>
          <w:szCs w:val="22"/>
        </w:rPr>
        <w:t xml:space="preserve">Operating System: Windows 10 / 11 (64-bit)</w:t>
      </w:r>
    </w:p>
    <w:p>
      <w:pPr>
        <w:pStyle w:val="ListParagraph"/>
        <w:numPr>
          <w:ilvl w:val="0"/>
          <w:numId w:val="2"/>
        </w:numPr>
        <w:spacing w:after="60" w:before="60"/>
      </w:pPr>
      <w:r>
        <w:rPr>
          <w:rFonts w:ascii="Arial" w:cs="Arial" w:eastAsia="Arial" w:hAnsi="Arial"/>
          <w:sz w:val="22"/>
          <w:szCs w:val="22"/>
        </w:rPr>
        <w:t xml:space="preserve">Microsoft Power BI Desktop — latest version (free download from Microsoft)</w:t>
      </w:r>
    </w:p>
    <w:p>
      <w:pPr>
        <w:pStyle w:val="ListParagraph"/>
        <w:numPr>
          <w:ilvl w:val="0"/>
          <w:numId w:val="2"/>
        </w:numPr>
        <w:spacing w:after="60" w:before="60"/>
      </w:pPr>
      <w:r>
        <w:rPr>
          <w:rFonts w:ascii="Arial" w:cs="Arial" w:eastAsia="Arial" w:hAnsi="Arial"/>
          <w:sz w:val="22"/>
          <w:szCs w:val="22"/>
        </w:rPr>
        <w:t xml:space="preserve">Microsoft Excel (Microsoft 365 / Excel 2019 or later) — for data cleaning and Power Query</w:t>
      </w:r>
    </w:p>
    <w:p>
      <w:pPr>
        <w:pStyle w:val="ListParagraph"/>
        <w:numPr>
          <w:ilvl w:val="0"/>
          <w:numId w:val="2"/>
        </w:numPr>
        <w:spacing w:after="60" w:before="60"/>
      </w:pPr>
      <w:r>
        <w:rPr>
          <w:rFonts w:ascii="Arial" w:cs="Arial" w:eastAsia="Arial" w:hAnsi="Arial"/>
          <w:sz w:val="22"/>
          <w:szCs w:val="22"/>
        </w:rPr>
        <w:t xml:space="preserve">Custom Power BI Visuals — Connected Scatter Plot, Enhanced Scatter Chart, Maps by Squillion, Heatmap, Polar Scatter Plot (downloaded from Microsoft AppSource)</w:t>
      </w:r>
    </w:p>
    <w:p>
      <w:pPr>
        <w:pStyle w:val="ListParagraph"/>
        <w:numPr>
          <w:ilvl w:val="0"/>
          <w:numId w:val="2"/>
        </w:numPr>
        <w:spacing w:after="60" w:before="60"/>
      </w:pPr>
      <w:r>
        <w:rPr>
          <w:rFonts w:ascii="Arial" w:cs="Arial" w:eastAsia="Arial" w:hAnsi="Arial"/>
          <w:sz w:val="22"/>
          <w:szCs w:val="22"/>
        </w:rPr>
        <w:t xml:space="preserve">Internet connection — required for custom visual download and Power BI Service publishing</w:t>
      </w:r>
    </w:p>
    <w:p>
      <w:pPr>
        <w:pStyle w:val="ListParagraph"/>
        <w:numPr>
          <w:ilvl w:val="0"/>
          <w:numId w:val="2"/>
        </w:numPr>
        <w:spacing w:after="60" w:before="60"/>
      </w:pPr>
      <w:r>
        <w:rPr>
          <w:rFonts w:ascii="Arial" w:cs="Arial" w:eastAsia="Arial" w:hAnsi="Arial"/>
          <w:sz w:val="22"/>
          <w:szCs w:val="22"/>
        </w:rPr>
        <w:t xml:space="preserve">Web browser — Google Chrome or Microsoft Edge (latest version)</w:t>
      </w:r>
    </w:p>
    <w:p>
      <w:pPr>
        <w:pStyle w:val="Heading2"/>
        <w:spacing w:after="120" w:before="220"/>
      </w:pPr>
      <w:r>
        <w:rPr>
          <w:rFonts w:ascii="Arial" w:cs="Arial" w:eastAsia="Arial" w:hAnsi="Arial"/>
          <w:b/>
          <w:bCs/>
          <w:color w:val="1F5C99"/>
          <w:sz w:val="24"/>
          <w:szCs w:val="24"/>
        </w:rPr>
        <w:t xml:space="preserve">B. Dataset</w:t>
      </w:r>
    </w:p>
    <w:p>
      <w:pPr>
        <w:pStyle w:val="ListParagraph"/>
        <w:numPr>
          <w:ilvl w:val="0"/>
          <w:numId w:val="2"/>
        </w:numPr>
        <w:spacing w:after="60" w:before="60"/>
      </w:pPr>
      <w:r>
        <w:rPr>
          <w:rFonts w:ascii="Arial" w:cs="Arial" w:eastAsia="Arial" w:hAnsi="Arial"/>
          <w:sz w:val="22"/>
          <w:szCs w:val="22"/>
        </w:rPr>
        <w:t xml:space="preserve">Dataset: Pacific_Asia_CLEAN.xlsx — already available and cleaned, sourced from a publicly available Kaggle supply chain e-commerce dataset</w:t>
      </w:r>
    </w:p>
    <w:p>
      <w:pPr>
        <w:pStyle w:val="ListParagraph"/>
        <w:numPr>
          <w:ilvl w:val="0"/>
          <w:numId w:val="2"/>
        </w:numPr>
        <w:spacing w:after="60" w:before="60"/>
      </w:pPr>
      <w:r>
        <w:rPr>
          <w:rFonts w:ascii="Arial" w:cs="Arial" w:eastAsia="Arial" w:hAnsi="Arial"/>
          <w:sz w:val="22"/>
          <w:szCs w:val="22"/>
        </w:rPr>
        <w:t xml:space="preserve">Sheet 1: Orders_CLEAN — 2,263 rows × 48 columns of order-level data covering Pacific Asia markets</w:t>
      </w:r>
    </w:p>
    <w:p>
      <w:pPr>
        <w:pStyle w:val="ListParagraph"/>
        <w:numPr>
          <w:ilvl w:val="0"/>
          <w:numId w:val="2"/>
        </w:numPr>
        <w:spacing w:after="60" w:before="60"/>
      </w:pPr>
      <w:r>
        <w:rPr>
          <w:rFonts w:ascii="Arial" w:cs="Arial" w:eastAsia="Arial" w:hAnsi="Arial"/>
          <w:sz w:val="22"/>
          <w:szCs w:val="22"/>
        </w:rPr>
        <w:t xml:space="preserve">Sheet 2: RegionalIntelligence — 20 rows × 4 columns providing GDP per capita, Urbanization Index, and Regional Logistics Score as contextual enrichment data</w:t>
      </w:r>
    </w:p>
    <w:p>
      <w:pPr>
        <w:pStyle w:val="ListParagraph"/>
        <w:numPr>
          <w:ilvl w:val="0"/>
          <w:numId w:val="2"/>
        </w:numPr>
        <w:spacing w:after="60" w:before="60"/>
      </w:pPr>
      <w:r>
        <w:rPr>
          <w:rFonts w:ascii="Arial" w:cs="Arial" w:eastAsia="Arial" w:hAnsi="Arial"/>
          <w:sz w:val="22"/>
          <w:szCs w:val="22"/>
        </w:rPr>
        <w:t xml:space="preserve">Sheet 3: Cleaning_Report — audit log documenting 7 categories of data quality issues identified and resolved</w:t>
      </w:r>
    </w:p>
    <w:p>
      <w:pPr>
        <w:pStyle w:val="ListParagraph"/>
        <w:numPr>
          <w:ilvl w:val="0"/>
          <w:numId w:val="2"/>
        </w:numPr>
        <w:spacing w:after="60" w:before="60"/>
      </w:pPr>
      <w:r>
        <w:rPr>
          <w:rFonts w:ascii="Arial" w:cs="Arial" w:eastAsia="Arial" w:hAnsi="Arial"/>
          <w:sz w:val="22"/>
          <w:szCs w:val="22"/>
        </w:rPr>
        <w:t xml:space="preserve">Source: Kaggle (public dataset) / Edunet AICW Fellowship program</w:t>
      </w:r>
    </w:p>
    <w:p>
      <w:pPr>
        <w:pStyle w:val="Heading2"/>
        <w:spacing w:after="120" w:before="220"/>
      </w:pPr>
      <w:r>
        <w:rPr>
          <w:rFonts w:ascii="Arial" w:cs="Arial" w:eastAsia="Arial" w:hAnsi="Arial"/>
          <w:b/>
          <w:bCs/>
          <w:color w:val="1F5C99"/>
          <w:sz w:val="24"/>
          <w:szCs w:val="24"/>
        </w:rPr>
        <w:t xml:space="preserve">C. Project Timeline</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504"/>
        <w:gridCol w:w="5376"/>
        <w:gridCol w:w="1480"/>
      </w:tblGrid>
      <w:tr>
        <w:trPr>
          <w:tblHeader/>
        </w:trPr>
        <w:tc>
          <w:tcPr>
            <w:tcW w:type="dxa" w:w="504"/>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5376"/>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48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Tentative Completion Date</w:t>
            </w:r>
          </w:p>
        </w:tc>
      </w:tr>
      <w:tr>
        <w:tc>
          <w:tcPr>
            <w:tcW w:type="dxa" w:w="504"/>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1</w:t>
            </w:r>
          </w:p>
        </w:tc>
        <w:tc>
          <w:tcPr>
            <w:tcW w:type="dxa" w:w="5376"/>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Dataset collection, exploration, schema review, and field documentation</w:t>
            </w:r>
          </w:p>
        </w:tc>
        <w:tc>
          <w:tcPr>
            <w:tcW w:type="dxa" w:w="148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Week 1</w:t>
            </w:r>
          </w:p>
        </w:tc>
      </w:tr>
      <w:tr>
        <w:tc>
          <w:tcPr>
            <w:tcW w:type="dxa" w:w="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537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cleaning (date fix, discount fix, type correction, null fill), Power Query validation</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Week 2</w:t>
            </w:r>
          </w:p>
        </w:tc>
      </w:tr>
      <w:tr>
        <w:tc>
          <w:tcPr>
            <w:tcW w:type="dxa" w:w="504"/>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3</w:t>
            </w:r>
          </w:p>
        </w:tc>
        <w:tc>
          <w:tcPr>
            <w:tcW w:type="dxa" w:w="5376"/>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Power BI data model setup, DAX measure development, Regional Intelligence integration</w:t>
            </w:r>
          </w:p>
        </w:tc>
        <w:tc>
          <w:tcPr>
            <w:tcW w:type="dxa" w:w="148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Week 2 — 3</w:t>
            </w:r>
          </w:p>
        </w:tc>
      </w:tr>
      <w:tr>
        <w:tc>
          <w:tcPr>
            <w:tcW w:type="dxa" w:w="50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537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Nine-page dashboard build, custom visual integration, AI feature configuration, testing and review</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Week 3</w:t>
            </w:r>
          </w:p>
        </w:tc>
      </w:tr>
      <w:tr>
        <w:tc>
          <w:tcPr>
            <w:tcW w:type="dxa" w:w="504"/>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5</w:t>
            </w:r>
          </w:p>
        </w:tc>
        <w:tc>
          <w:tcPr>
            <w:tcW w:type="dxa" w:w="5376"/>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Report writing, synopsis writing, GitHub upload, video recording and submission</w:t>
            </w:r>
          </w:p>
        </w:tc>
        <w:tc>
          <w:tcPr>
            <w:tcW w:type="dxa" w:w="148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0"/>
                <w:szCs w:val="20"/>
              </w:rPr>
              <w:t xml:space="preserve">Week 4</w:t>
            </w:r>
          </w:p>
        </w:tc>
      </w:tr>
    </w:tbl>
    <w:p>
      <w:pPr>
        <w:pStyle w:val="Heading1"/>
        <w:pBdr>
          <w:bottom w:val="single" w:color="2E4A7A" w:sz="6" w:space="4"/>
        </w:pBdr>
        <w:spacing w:after="180" w:before="320"/>
      </w:pPr>
      <w:r>
        <w:rPr>
          <w:rFonts w:ascii="Arial" w:cs="Arial" w:eastAsia="Arial" w:hAnsi="Arial"/>
          <w:b/>
          <w:bCs/>
          <w:color w:val="2E4A7A"/>
          <w:sz w:val="30"/>
          <w:szCs w:val="30"/>
        </w:rPr>
        <w:t xml:space="preserve">7. Expected Outcomes / Conclusion</w:t>
      </w:r>
    </w:p>
    <w:p>
      <w:pPr>
        <w:spacing w:after="80" w:before="80"/>
        <w:jc w:val="both"/>
      </w:pPr>
      <w:r>
        <w:rPr>
          <w:rFonts w:ascii="Arial" w:cs="Arial" w:eastAsia="Arial" w:hAnsi="Arial"/>
          <w:sz w:val="22"/>
          <w:szCs w:val="22"/>
        </w:rPr>
        <w:t xml:space="preserve">This project is expected to deliver the following outputs and contributions: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A clean, validated Pacific Asia supply chain dataset with all preprocessing steps fully documented in the Cleaning_Report audit sheet, including a before/after comparison of key data quality issues resolved across 7 issue categories.</w:t>
      </w:r>
    </w:p>
    <w:p>
      <w:pPr>
        <w:pStyle w:val="ListParagraph"/>
        <w:numPr>
          <w:ilvl w:val="0"/>
          <w:numId w:val="2"/>
        </w:numPr>
        <w:spacing w:after="60" w:before="60"/>
      </w:pPr>
      <w:r>
        <w:rPr>
          <w:rFonts w:ascii="Arial" w:cs="Arial" w:eastAsia="Arial" w:hAnsi="Arial"/>
          <w:sz w:val="22"/>
          <w:szCs w:val="22"/>
        </w:rPr>
        <w:t xml:space="preserve">A nine-page interactive Power BI dashboard that provides a comprehensive, multi-dimensional view of supply chain performance across executive, regional, product, shipping, customer, and risk dimensions — actionable by supply chain managers, logistics teams, and executive decision-makers.</w:t>
      </w:r>
    </w:p>
    <w:p>
      <w:pPr>
        <w:pStyle w:val="ListParagraph"/>
        <w:numPr>
          <w:ilvl w:val="0"/>
          <w:numId w:val="2"/>
        </w:numPr>
        <w:spacing w:after="60" w:before="60"/>
      </w:pPr>
      <w:r>
        <w:rPr>
          <w:rFonts w:ascii="Arial" w:cs="Arial" w:eastAsia="Arial" w:hAnsi="Arial"/>
          <w:sz w:val="22"/>
          <w:szCs w:val="22"/>
        </w:rPr>
        <w:t xml:space="preserve">A DAX measure library of 20+ calculated measures providing dynamic, filter-aware computation of all key business KPIs including Total Sales ($390,818.68), Total Profit ($39,501.77), Late Delivery Rate (56.6%), Profit Ratio, Fraud Count, and financial loss impact metrics.</w:t>
      </w:r>
    </w:p>
    <w:p>
      <w:pPr>
        <w:pStyle w:val="ListParagraph"/>
        <w:numPr>
          <w:ilvl w:val="0"/>
          <w:numId w:val="2"/>
        </w:numPr>
        <w:spacing w:after="60" w:before="60"/>
      </w:pPr>
      <w:r>
        <w:rPr>
          <w:rFonts w:ascii="Arial" w:cs="Arial" w:eastAsia="Arial" w:hAnsi="Arial"/>
          <w:sz w:val="22"/>
          <w:szCs w:val="22"/>
        </w:rPr>
        <w:t xml:space="preserve">Demonstrated integration of Power BI's AI-powered capabilities — Key Influencers visual (identifying First Class shipping as the primary driver of late delivery risk), Smart Narrative cards (auto-generating executive summaries), and Decomposition Tree (enabling drill-down root cause analysis) — with all AI insights documented.</w:t>
      </w:r>
    </w:p>
    <w:p>
      <w:pPr>
        <w:pStyle w:val="ListParagraph"/>
        <w:numPr>
          <w:ilvl w:val="0"/>
          <w:numId w:val="2"/>
        </w:numPr>
        <w:spacing w:after="60" w:before="60"/>
      </w:pPr>
      <w:r>
        <w:rPr>
          <w:rFonts w:ascii="Arial" w:cs="Arial" w:eastAsia="Arial" w:hAnsi="Arial"/>
          <w:sz w:val="22"/>
          <w:szCs w:val="22"/>
        </w:rPr>
        <w:t xml:space="preserve">Specific, evidence-based business recommendations for the Pacific Asia supply chain including restructuring First Class shipping operations, scaling Consumer Electronics as a high-margin category, implementing a discount ceiling policy for Men's Clothing, and deploying automated fraud alerts for SUSPECTED_FRAUD orders.</w:t>
      </w:r>
    </w:p>
    <w:p>
      <w:pPr>
        <w:pStyle w:val="ListParagraph"/>
        <w:numPr>
          <w:ilvl w:val="0"/>
          <w:numId w:val="2"/>
        </w:numPr>
        <w:spacing w:after="60" w:before="60"/>
      </w:pPr>
      <w:r>
        <w:rPr>
          <w:rFonts w:ascii="Arial" w:cs="Arial" w:eastAsia="Arial" w:hAnsi="Arial"/>
          <w:sz w:val="22"/>
          <w:szCs w:val="22"/>
        </w:rPr>
        <w:t xml:space="preserve">A GitHub repository containing all project files (cleaned Excel dataset, Power BI .pbix file, project report, and synopsis) and a video demonstration of the working dashboard.</w:t>
      </w:r>
    </w:p>
    <w:p>
      <w:pPr>
        <w:pStyle w:val="Heading1"/>
        <w:pBdr>
          <w:bottom w:val="single" w:color="2E4A7A" w:sz="6" w:space="4"/>
        </w:pBdr>
        <w:spacing w:after="180" w:before="320"/>
      </w:pPr>
      <w:r>
        <w:rPr>
          <w:rFonts w:ascii="Arial" w:cs="Arial" w:eastAsia="Arial" w:hAnsi="Arial"/>
          <w:b/>
          <w:bCs/>
          <w:color w:val="2E4A7A"/>
          <w:sz w:val="30"/>
          <w:szCs w:val="30"/>
        </w:rPr>
        <w:t xml:space="preserve">8. References</w:t>
      </w:r>
    </w:p>
    <w:p>
      <w:pPr>
        <w:pStyle w:val="ListParagraph"/>
        <w:numPr>
          <w:ilvl w:val="0"/>
          <w:numId w:val="2"/>
        </w:numPr>
        <w:spacing w:after="60" w:before="60"/>
      </w:pPr>
      <w:r>
        <w:rPr>
          <w:rFonts w:ascii="Arial" w:cs="Arial" w:eastAsia="Arial" w:hAnsi="Arial"/>
          <w:sz w:val="22"/>
          <w:szCs w:val="22"/>
        </w:rPr>
        <w:t xml:space="preserve">Edunet Foundation. AICW Fellowship Program Guidelines. 2026. Available at: https://www.edunetfoundation.org</w:t>
      </w:r>
    </w:p>
    <w:p>
      <w:pPr>
        <w:pStyle w:val="ListParagraph"/>
        <w:numPr>
          <w:ilvl w:val="0"/>
          <w:numId w:val="2"/>
        </w:numPr>
        <w:spacing w:after="60" w:before="60"/>
      </w:pPr>
      <w:r>
        <w:rPr>
          <w:rFonts w:ascii="Arial" w:cs="Arial" w:eastAsia="Arial" w:hAnsi="Arial"/>
          <w:sz w:val="22"/>
          <w:szCs w:val="22"/>
        </w:rPr>
        <w:t xml:space="preserve">Microsoft Corporation. Microsoft Power BI Documentation. Available at: https://learn.microsoft.com/en-us/power-bi/</w:t>
      </w:r>
    </w:p>
    <w:p>
      <w:pPr>
        <w:pStyle w:val="ListParagraph"/>
        <w:numPr>
          <w:ilvl w:val="0"/>
          <w:numId w:val="2"/>
        </w:numPr>
        <w:spacing w:after="60" w:before="60"/>
      </w:pPr>
      <w:r>
        <w:rPr>
          <w:rFonts w:ascii="Arial" w:cs="Arial" w:eastAsia="Arial" w:hAnsi="Arial"/>
          <w:sz w:val="22"/>
          <w:szCs w:val="22"/>
        </w:rPr>
        <w:t xml:space="preserve">Microsoft Corporation. DAX Reference. Available at: https://learn.microsoft.com/en-us/dax/</w:t>
      </w:r>
    </w:p>
    <w:p>
      <w:pPr>
        <w:pStyle w:val="ListParagraph"/>
        <w:numPr>
          <w:ilvl w:val="0"/>
          <w:numId w:val="2"/>
        </w:numPr>
        <w:spacing w:after="60" w:before="60"/>
      </w:pPr>
      <w:r>
        <w:rPr>
          <w:rFonts w:ascii="Arial" w:cs="Arial" w:eastAsia="Arial" w:hAnsi="Arial"/>
          <w:sz w:val="22"/>
          <w:szCs w:val="22"/>
        </w:rPr>
        <w:t xml:space="preserve">Chopra, S. &amp; Meindl, P. Supply Chain Management: Strategy, Planning, and Operations. 6th ed. Pearson, 2016.</w:t>
      </w:r>
    </w:p>
    <w:p>
      <w:pPr>
        <w:pStyle w:val="ListParagraph"/>
        <w:numPr>
          <w:ilvl w:val="0"/>
          <w:numId w:val="2"/>
        </w:numPr>
        <w:spacing w:after="60" w:before="60"/>
      </w:pPr>
      <w:r>
        <w:rPr>
          <w:rFonts w:ascii="Arial" w:cs="Arial" w:eastAsia="Arial" w:hAnsi="Arial"/>
          <w:sz w:val="22"/>
          <w:szCs w:val="22"/>
        </w:rPr>
        <w:t xml:space="preserve">World Bank. Logistics Performance Index (LPI). Available at: https://lpi.worldbank.org</w:t>
      </w:r>
    </w:p>
    <w:p>
      <w:pPr>
        <w:pStyle w:val="ListParagraph"/>
        <w:numPr>
          <w:ilvl w:val="0"/>
          <w:numId w:val="2"/>
        </w:numPr>
        <w:spacing w:after="60" w:before="60"/>
      </w:pPr>
      <w:r>
        <w:rPr>
          <w:rFonts w:ascii="Arial" w:cs="Arial" w:eastAsia="Arial" w:hAnsi="Arial"/>
          <w:sz w:val="22"/>
          <w:szCs w:val="22"/>
        </w:rPr>
        <w:t xml:space="preserve">Kaggle Inc. Supply Chain E-Commerce Dataset. Available at: https://www.kaggle.com/datasets</w:t>
      </w:r>
    </w:p>
    <w:p>
      <w:pPr>
        <w:pStyle w:val="ListParagraph"/>
        <w:numPr>
          <w:ilvl w:val="0"/>
          <w:numId w:val="2"/>
        </w:numPr>
        <w:spacing w:after="60" w:before="60"/>
      </w:pPr>
      <w:r>
        <w:rPr>
          <w:rFonts w:ascii="Arial" w:cs="Arial" w:eastAsia="Arial" w:hAnsi="Arial"/>
          <w:sz w:val="22"/>
          <w:szCs w:val="22"/>
        </w:rPr>
        <w:t xml:space="preserve">Microsoft Corporation. Power BI Custom Visuals Gallery. Available at: https://appsource.microsoft.com</w:t>
      </w:r>
    </w:p>
    <w:p>
      <w:pPr>
        <w:pStyle w:val="ListParagraph"/>
        <w:numPr>
          <w:ilvl w:val="0"/>
          <w:numId w:val="2"/>
        </w:numPr>
        <w:spacing w:after="60" w:before="60"/>
      </w:pPr>
      <w:r>
        <w:rPr>
          <w:rFonts w:ascii="Arial" w:cs="Arial" w:eastAsia="Arial" w:hAnsi="Arial"/>
          <w:sz w:val="22"/>
          <w:szCs w:val="22"/>
        </w:rPr>
        <w:t xml:space="preserve">LinkedIn Learning. Data Analytics and Power BI Courses. 2026. Available at: https://www.linkedin.com/learning</w:t>
      </w:r>
    </w:p>
    <w:p>
      <w:pPr>
        <w:pStyle w:val="ListParagraph"/>
        <w:numPr>
          <w:ilvl w:val="0"/>
          <w:numId w:val="2"/>
        </w:numPr>
        <w:spacing w:after="60" w:before="60"/>
      </w:pPr>
      <w:r>
        <w:rPr>
          <w:rFonts w:ascii="Arial" w:cs="Arial" w:eastAsia="Arial" w:hAnsi="Arial"/>
          <w:sz w:val="22"/>
          <w:szCs w:val="22"/>
        </w:rPr>
        <w:t xml:space="preserve">[Add any additional project-specific references consulted during development here.]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2E4A7A"/>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e445066bfaa6a36ba9fb42a2df5702cb85b47bd.png"/><Relationship Id="rId8" Type="http://schemas.openxmlformats.org/officeDocument/2006/relationships/image" Target="media/fa4b5c4a664be51b467e52594966132af993a05f.png"/><Relationship Id="rId9" Type="http://schemas.openxmlformats.org/officeDocument/2006/relationships/image" Target="media/65d85a5ee9258ff326871f2c0556fc510ffc32f4.png"/><Relationship Id="rId10" Type="http://schemas.openxmlformats.org/officeDocument/2006/relationships/image" Target="media/eec989807602054ef1ee54893d0e17429c5dcb3d.png"/><Relationship Id="rId11" Type="http://schemas.openxmlformats.org/officeDocument/2006/relationships/image" Target="media/9cc7309e5b3f14a8db041680afa95485b0703ee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2026-04-04T13:32:46.132Z</dcterms:created>
  <dcterms:modified xsi:type="dcterms:W3CDTF">2026-04-04T13:32:46.133Z</dcterms:modified>
</cp:coreProperties>
</file>

<file path=docProps/custom.xml><?xml version="1.0" encoding="utf-8"?>
<Properties xmlns="http://schemas.openxmlformats.org/officeDocument/2006/custom-properties" xmlns:vt="http://schemas.openxmlformats.org/officeDocument/2006/docPropsVTypes"/>
</file>