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F4E79"/>
          <w:sz w:val="44"/>
        </w:rPr>
        <w:t>Spottr Project Report — Module Section:</w:t>
        <w:br/>
        <w:t>Face Verification, Liveness Detection &amp; Demographic Bias Audit</w:t>
      </w:r>
    </w:p>
    <w:p>
      <w:r>
        <w:rPr>
          <w:b/>
        </w:rPr>
        <w:t xml:space="preserve">Author / Lead Developer: </w:t>
      </w:r>
      <w:r>
        <w:t>Face Verification Module Lead (Dev 1)</w:t>
        <w:br/>
      </w:r>
      <w:r>
        <w:rPr>
          <w:b/>
        </w:rPr>
        <w:t xml:space="preserve">Component: </w:t>
      </w:r>
      <w:r>
        <w:t>Spottr Biometric Microservice (ml_services/face)</w:t>
        <w:br/>
      </w:r>
      <w:r>
        <w:rPr>
          <w:b/>
        </w:rPr>
        <w:t xml:space="preserve">Architecture Role: </w:t>
      </w:r>
      <w:r>
        <w:t>Independent Microservice running on Port 8002</w:t>
        <w:br/>
      </w:r>
    </w:p>
    <w:p>
      <w:r>
        <w:t>───────────────────────────────────────────────────────</w:t>
      </w:r>
    </w:p>
    <w:p>
      <w:pPr>
        <w:pStyle w:val="Heading1"/>
      </w:pPr>
      <w:r>
        <w:t>1. Executive Summary &amp; Module Overview</w:t>
      </w:r>
    </w:p>
    <w:p>
      <w:r>
        <w:t>The Face Verification Microservice provides biometric identity verification and spoof prevention for the Spottr location-based discovery and social platform. Designed as a privacy-gated microservice, this module ensures that user profiles and identity submissions are verified using facial biometric matching while preventing presentation attacks (such as holding up a static photo or video screen).</w:t>
      </w:r>
    </w:p>
    <w:p>
      <w:pPr>
        <w:pStyle w:val="Heading2"/>
      </w:pPr>
      <w:r>
        <w:t>Key Features Delivered</w:t>
      </w:r>
    </w:p>
    <w:p>
      <w:pPr>
        <w:pStyle w:val="ListBullet"/>
      </w:pPr>
      <w:r>
        <w:rPr>
          <w:b/>
        </w:rPr>
        <w:t xml:space="preserve">Model Selection &amp; Empirical Benchmarking: </w:t>
      </w:r>
      <w:r>
        <w:t>Evaluated FaceNet (Inception-ResNet-v1) vs. InsightFace (ArcFace with MobileFaceNet backbone) across 1,000 LFW benchmark pairs.</w:t>
      </w:r>
    </w:p>
    <w:p>
      <w:pPr>
        <w:pStyle w:val="ListBullet"/>
      </w:pPr>
      <w:r>
        <w:rPr>
          <w:b/>
        </w:rPr>
        <w:t xml:space="preserve">Demographic Bias Audit: </w:t>
      </w:r>
      <w:r>
        <w:t>Evaluated False Non-Match Rate (FNMR) at 1% False Accept Rate (FAR) across gender and ethnicity subgroups to document performance equity.</w:t>
      </w:r>
    </w:p>
    <w:p>
      <w:pPr>
        <w:pStyle w:val="ListBullet"/>
      </w:pPr>
      <w:r>
        <w:rPr>
          <w:b/>
        </w:rPr>
        <w:t xml:space="preserve">Blink-Based Liveness Detection: </w:t>
      </w:r>
      <w:r>
        <w:t>Real-time Eye Aspect Ratio (EAR) tracking using 468 3D facial landmarks from MediaPipe's FaceLandmarker task API.</w:t>
      </w:r>
    </w:p>
    <w:p>
      <w:pPr>
        <w:pStyle w:val="ListBullet"/>
      </w:pPr>
      <w:r>
        <w:rPr>
          <w:b/>
        </w:rPr>
        <w:t xml:space="preserve">Government ID Protocol: </w:t>
      </w:r>
      <w:r>
        <w:t>ID photo extraction and similarity comparison against sequential selfie frames (/verify/id, /verify/selfie, /verify/compare).</w:t>
      </w:r>
    </w:p>
    <w:p>
      <w:pPr>
        <w:pStyle w:val="ListBullet"/>
      </w:pPr>
      <w:r>
        <w:rPr>
          <w:b/>
        </w:rPr>
        <w:t xml:space="preserve">Hinge-Style Profile Verification Protocol: </w:t>
      </w:r>
      <w:r>
        <w:t>Live selfie verification against multiple user profile pictures uploaded to the application (/verify/profile).</w:t>
      </w:r>
    </w:p>
    <w:p>
      <w:pPr>
        <w:pStyle w:val="ListBullet"/>
      </w:pPr>
      <w:r>
        <w:rPr>
          <w:b/>
        </w:rPr>
        <w:t xml:space="preserve">FastAPI Microservice Packaging: </w:t>
      </w:r>
      <w:r>
        <w:t>Standalone, lightweight HTTP microservice with CORS support and automated integration test coverage.</w:t>
      </w:r>
    </w:p>
    <w:p>
      <w:pPr>
        <w:pStyle w:val="Heading1"/>
      </w:pPr>
      <w:r>
        <w:t>2. System Architecture &amp; Workflows</w:t>
      </w:r>
    </w:p>
    <w:p>
      <w:r>
        <w:t>The face verification subsystem operates as an isolated Python microservice, communicating with the main Spottr backend over RESTful HTTP endpoints. Images uploaded to the service are processed entirely in ephemeral memory buffers and are never written to persistent disk storage.</w:t>
      </w:r>
    </w:p>
    <w:p>
      <w:pPr>
        <w:pStyle w:val="Heading1"/>
      </w:pPr>
      <w:r>
        <w:t>3. Mathematical &amp; Algorithmic Formulation</w:t>
      </w:r>
    </w:p>
    <w:p>
      <w:pPr>
        <w:pStyle w:val="Heading2"/>
      </w:pPr>
      <w:r>
        <w:t>3.1 Cosine Similarity Verification Metric</w:t>
      </w:r>
    </w:p>
    <w:p>
      <w:r>
        <w:t>Facial vectors u, v in R^512 are extracted and normalized to the unit hypersphere (L2 normalization):</w:t>
        <w:br/>
        <w:t xml:space="preserve">  u_hat = u / ||u||_2 ,   v_hat = v / ||v||_2</w:t>
        <w:br/>
        <w:br/>
        <w:t>The similarity score S(u, v) is defined as the dot product:</w:t>
        <w:br/>
        <w:t xml:space="preserve">  S(u, v) = u_hat . v_hat = sum_{i=1}^{512} u_hat_i * v_hat_i</w:t>
        <w:br/>
        <w:br/>
        <w:t>Verification Decision Rule:</w:t>
        <w:br/>
        <w:t xml:space="preserve">  Verified(u, v) = True  if S(u, v) &gt;= tau AND LivenessPassed == True</w:t>
        <w:br/>
        <w:t xml:space="preserve">                   False otherwise</w:t>
        <w:br/>
        <w:br/>
        <w:t>Where the decision threshold tau = 0.23 was calibrated empirically on the LFW dataset.</w:t>
      </w:r>
    </w:p>
    <w:p>
      <w:pPr>
        <w:pStyle w:val="Heading2"/>
      </w:pPr>
      <w:r>
        <w:t>3.2 Eye Aspect Ratio (EAR) Blink Liveness Algorithm</w:t>
      </w:r>
    </w:p>
    <w:p>
      <w:r>
        <w:t>To defeat photo-replay presentation attacks, 3D facial mesh points around the left and right eyes are tracked across sequential frames:</w:t>
        <w:br/>
        <w:t xml:space="preserve">  - Left Eye Index Map: Top: 386, Bottom: 374, Left: 362, Right: 263</w:t>
        <w:br/>
        <w:t xml:space="preserve">  - Right Eye Index Map: Top: 159, Bottom: 145, Left: 33, Right: 133</w:t>
        <w:br/>
        <w:br/>
        <w:t>For eye landmarks P_top, P_bottom, P_left, P_right, the EAR is computed as:</w:t>
        <w:br/>
        <w:t xml:space="preserve">  EAR = ||P_top - P_bottom||_2 / ||P_left - P_right||_2</w:t>
        <w:br/>
        <w:br/>
        <w:t>A valid blink event requires a minimum 25% relative drop in EAR followed by recovery to open-eye baseline.</w:t>
      </w:r>
    </w:p>
    <w:p>
      <w:pPr>
        <w:pStyle w:val="Heading1"/>
      </w:pPr>
      <w:r>
        <w:t>4. Empirical Evaluation &amp; Model Selection</w:t>
      </w:r>
    </w:p>
    <w:p>
      <w:r>
        <w:t>Both candidate architectures were benchmarked on 1,000 image pairs (500 genuine matching pairs and 500 non-matching imposter pairs) extracted from the Labeled Faces in the Wild (LFW) evaluation protocol.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r>
              <w:rPr>
                <w:b/>
                <w:color w:val="FFFFFF"/>
              </w:rPr>
              <w:t>Performance Metric</w:t>
            </w:r>
          </w:p>
        </w:tc>
        <w:tc>
          <w:tcPr>
            <w:tcW w:type="dxa" w:w="2340"/>
            <w:shd w:val="clear" w:color="auto" w:fill="1F4E79"/>
          </w:tcPr>
          <w:p>
            <w:r>
              <w:rPr>
                <w:b/>
                <w:color w:val="FFFFFF"/>
              </w:rPr>
              <w:t>FaceNet (facenet-pytorch)</w:t>
            </w:r>
          </w:p>
        </w:tc>
        <w:tc>
          <w:tcPr>
            <w:tcW w:type="dxa" w:w="2340"/>
            <w:shd w:val="clear" w:color="auto" w:fill="1F4E79"/>
          </w:tcPr>
          <w:p>
            <w:r>
              <w:rPr>
                <w:b/>
                <w:color w:val="FFFFFF"/>
              </w:rPr>
              <w:t>InsightFace (buffalo_sc)</w:t>
            </w:r>
          </w:p>
        </w:tc>
        <w:tc>
          <w:tcPr>
            <w:tcW w:type="dxa" w:w="2340"/>
            <w:shd w:val="clear" w:color="auto" w:fill="1F4E79"/>
          </w:tcPr>
          <w:p>
            <w:r>
              <w:rPr>
                <w:b/>
                <w:color w:val="FFFFFF"/>
              </w:rPr>
              <w:t>Winner / Selected</w:t>
            </w:r>
          </w:p>
        </w:tc>
      </w:tr>
      <w:tr>
        <w:tc>
          <w:tcPr>
            <w:tcW w:type="dxa" w:w="2340"/>
            <w:shd w:val="clear" w:color="auto" w:fill="F2F2F2"/>
          </w:tcPr>
          <w:p>
            <w:r>
              <w:t>Accuracy</w:t>
            </w:r>
          </w:p>
        </w:tc>
        <w:tc>
          <w:tcPr>
            <w:tcW w:type="dxa" w:w="2340"/>
            <w:shd w:val="clear" w:color="auto" w:fill="F2F2F2"/>
          </w:tcPr>
          <w:p>
            <w:r>
              <w:t>97.10%</w:t>
            </w:r>
          </w:p>
        </w:tc>
        <w:tc>
          <w:tcPr>
            <w:tcW w:type="dxa" w:w="2340"/>
            <w:shd w:val="clear" w:color="auto" w:fill="F2F2F2"/>
          </w:tcPr>
          <w:p>
            <w:r>
              <w:t>99.40%</w:t>
            </w:r>
          </w:p>
        </w:tc>
        <w:tc>
          <w:tcPr>
            <w:tcW w:type="dxa" w:w="2340"/>
            <w:shd w:val="clear" w:color="auto" w:fill="F2F2F2"/>
          </w:tcPr>
          <w:p>
            <w:r>
              <w:t>InsightFace (Selected)</w:t>
            </w:r>
          </w:p>
        </w:tc>
      </w:tr>
      <w:tr>
        <w:tc>
          <w:tcPr>
            <w:tcW w:type="dxa" w:w="2340"/>
          </w:tcPr>
          <w:p>
            <w:r>
              <w:t>Area Under ROC (AUC)</w:t>
            </w:r>
          </w:p>
        </w:tc>
        <w:tc>
          <w:tcPr>
            <w:tcW w:type="dxa" w:w="2340"/>
          </w:tcPr>
          <w:p>
            <w:r>
              <w:t>0.9736</w:t>
            </w:r>
          </w:p>
        </w:tc>
        <w:tc>
          <w:tcPr>
            <w:tcW w:type="dxa" w:w="2340"/>
          </w:tcPr>
          <w:p>
            <w:r>
              <w:t>0.9981</w:t>
            </w:r>
          </w:p>
        </w:tc>
        <w:tc>
          <w:tcPr>
            <w:tcW w:type="dxa" w:w="2340"/>
          </w:tcPr>
          <w:p>
            <w:r>
              <w:t>InsightFace (Selected)</w:t>
            </w:r>
          </w:p>
        </w:tc>
      </w:tr>
      <w:tr>
        <w:tc>
          <w:tcPr>
            <w:tcW w:type="dxa" w:w="2340"/>
            <w:shd w:val="clear" w:color="auto" w:fill="F2F2F2"/>
          </w:tcPr>
          <w:p>
            <w:r>
              <w:t>Equal Error Rate (EER)</w:t>
            </w:r>
          </w:p>
        </w:tc>
        <w:tc>
          <w:tcPr>
            <w:tcW w:type="dxa" w:w="2340"/>
            <w:shd w:val="clear" w:color="auto" w:fill="F2F2F2"/>
          </w:tcPr>
          <w:p>
            <w:r>
              <w:t>7.60%</w:t>
            </w:r>
          </w:p>
        </w:tc>
        <w:tc>
          <w:tcPr>
            <w:tcW w:type="dxa" w:w="2340"/>
            <w:shd w:val="clear" w:color="auto" w:fill="F2F2F2"/>
          </w:tcPr>
          <w:p>
            <w:r>
              <w:t>1.00%</w:t>
            </w:r>
          </w:p>
        </w:tc>
        <w:tc>
          <w:tcPr>
            <w:tcW w:type="dxa" w:w="2340"/>
            <w:shd w:val="clear" w:color="auto" w:fill="F2F2F2"/>
          </w:tcPr>
          <w:p>
            <w:r>
              <w:t>InsightFace (Selected)</w:t>
            </w:r>
          </w:p>
        </w:tc>
      </w:tr>
      <w:tr>
        <w:tc>
          <w:tcPr>
            <w:tcW w:type="dxa" w:w="2340"/>
          </w:tcPr>
          <w:p>
            <w:r>
              <w:t>CPU Latency / Face</w:t>
            </w:r>
          </w:p>
        </w:tc>
        <w:tc>
          <w:tcPr>
            <w:tcW w:type="dxa" w:w="2340"/>
          </w:tcPr>
          <w:p>
            <w:r>
              <w:t>298 ms</w:t>
            </w:r>
          </w:p>
        </w:tc>
        <w:tc>
          <w:tcPr>
            <w:tcW w:type="dxa" w:w="2340"/>
          </w:tcPr>
          <w:p>
            <w:r>
              <w:t>55 ms</w:t>
            </w:r>
          </w:p>
        </w:tc>
        <w:tc>
          <w:tcPr>
            <w:tcW w:type="dxa" w:w="2340"/>
          </w:tcPr>
          <w:p>
            <w:r>
              <w:t>InsightFace (5.4x Faster)</w:t>
            </w:r>
          </w:p>
        </w:tc>
      </w:tr>
      <w:tr>
        <w:tc>
          <w:tcPr>
            <w:tcW w:type="dxa" w:w="2340"/>
            <w:shd w:val="clear" w:color="auto" w:fill="F2F2F2"/>
          </w:tcPr>
          <w:p>
            <w:r>
              <w:t>Model Binary Size</w:t>
            </w:r>
          </w:p>
        </w:tc>
        <w:tc>
          <w:tcPr>
            <w:tcW w:type="dxa" w:w="2340"/>
            <w:shd w:val="clear" w:color="auto" w:fill="F2F2F2"/>
          </w:tcPr>
          <w:p>
            <w:r>
              <w:t>~107 MB</w:t>
            </w:r>
          </w:p>
        </w:tc>
        <w:tc>
          <w:tcPr>
            <w:tcW w:type="dxa" w:w="2340"/>
            <w:shd w:val="clear" w:color="auto" w:fill="F2F2F2"/>
          </w:tcPr>
          <w:p>
            <w:r>
              <w:t>~14 MB</w:t>
            </w:r>
          </w:p>
        </w:tc>
        <w:tc>
          <w:tcPr>
            <w:tcW w:type="dxa" w:w="2340"/>
            <w:shd w:val="clear" w:color="auto" w:fill="F2F2F2"/>
          </w:tcPr>
          <w:p>
            <w:r>
              <w:t>InsightFace (Selected)</w:t>
            </w:r>
          </w:p>
        </w:tc>
      </w:tr>
    </w:tbl>
    <w:p/>
    <w:p>
      <w:pPr>
        <w:pStyle w:val="Heading1"/>
      </w:pPr>
      <w:r>
        <w:t>5. Demographic Bias Audit</w:t>
      </w:r>
    </w:p>
    <w:p>
      <w:r>
        <w:t>A demographic fairness audit was conducted by calculating the False Non-Match Rate (FNMR) at a fixed 1.0% False Accept Rate (FAR) across gender and ethnicity subgroups on LFW annotated pairs.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r>
              <w:rPr>
                <w:b/>
                <w:color w:val="FFFFFF"/>
              </w:rPr>
              <w:t>Demographic Subgroup</w:t>
            </w:r>
          </w:p>
        </w:tc>
        <w:tc>
          <w:tcPr>
            <w:tcW w:type="dxa" w:w="1872"/>
            <w:shd w:val="clear" w:color="auto" w:fill="1F4E79"/>
          </w:tcPr>
          <w:p>
            <w:r>
              <w:rPr>
                <w:b/>
                <w:color w:val="FFFFFF"/>
              </w:rPr>
              <w:t>Pair Count (N)</w:t>
            </w:r>
          </w:p>
        </w:tc>
        <w:tc>
          <w:tcPr>
            <w:tcW w:type="dxa" w:w="1872"/>
            <w:shd w:val="clear" w:color="auto" w:fill="1F4E79"/>
          </w:tcPr>
          <w:p>
            <w:r>
              <w:rPr>
                <w:b/>
                <w:color w:val="FFFFFF"/>
              </w:rPr>
              <w:t>FaceNet FNMR (%)</w:t>
            </w:r>
          </w:p>
        </w:tc>
        <w:tc>
          <w:tcPr>
            <w:tcW w:type="dxa" w:w="1872"/>
            <w:shd w:val="clear" w:color="auto" w:fill="1F4E79"/>
          </w:tcPr>
          <w:p>
            <w:r>
              <w:rPr>
                <w:b/>
                <w:color w:val="FFFFFF"/>
              </w:rPr>
              <w:t>InsightFace FNMR (%)</w:t>
            </w:r>
          </w:p>
        </w:tc>
        <w:tc>
          <w:tcPr>
            <w:tcW w:type="dxa" w:w="1872"/>
            <w:shd w:val="clear" w:color="auto" w:fill="1F4E79"/>
          </w:tcPr>
          <w:p>
            <w:r>
              <w:rPr>
                <w:b/>
                <w:color w:val="FFFFFF"/>
              </w:rPr>
              <w:t>Audit Finding</w:t>
            </w:r>
          </w:p>
        </w:tc>
      </w:tr>
      <w:tr>
        <w:tc>
          <w:tcPr>
            <w:tcW w:type="dxa" w:w="1872"/>
            <w:shd w:val="clear" w:color="auto" w:fill="F2F2F2"/>
          </w:tcPr>
          <w:p>
            <w:r>
              <w:t>Male</w:t>
            </w:r>
          </w:p>
        </w:tc>
        <w:tc>
          <w:tcPr>
            <w:tcW w:type="dxa" w:w="1872"/>
            <w:shd w:val="clear" w:color="auto" w:fill="F2F2F2"/>
          </w:tcPr>
          <w:p>
            <w:r>
              <w:t>358</w:t>
            </w:r>
          </w:p>
        </w:tc>
        <w:tc>
          <w:tcPr>
            <w:tcW w:type="dxa" w:w="1872"/>
            <w:shd w:val="clear" w:color="auto" w:fill="F2F2F2"/>
          </w:tcPr>
          <w:p>
            <w:r>
              <w:t>5.23%</w:t>
            </w:r>
          </w:p>
        </w:tc>
        <w:tc>
          <w:tcPr>
            <w:tcW w:type="dxa" w:w="1872"/>
            <w:shd w:val="clear" w:color="auto" w:fill="F2F2F2"/>
          </w:tcPr>
          <w:p>
            <w:r>
              <w:t>0.28%</w:t>
            </w:r>
          </w:p>
        </w:tc>
        <w:tc>
          <w:tcPr>
            <w:tcW w:type="dxa" w:w="1872"/>
            <w:shd w:val="clear" w:color="auto" w:fill="F2F2F2"/>
          </w:tcPr>
          <w:p>
            <w:r>
              <w:t>High accuracy</w:t>
            </w:r>
          </w:p>
        </w:tc>
      </w:tr>
      <w:tr>
        <w:tc>
          <w:tcPr>
            <w:tcW w:type="dxa" w:w="1872"/>
          </w:tcPr>
          <w:p>
            <w:r>
              <w:t>Female</w:t>
            </w:r>
          </w:p>
        </w:tc>
        <w:tc>
          <w:tcPr>
            <w:tcW w:type="dxa" w:w="1872"/>
          </w:tcPr>
          <w:p>
            <w:r>
              <w:t>133</w:t>
            </w:r>
          </w:p>
        </w:tc>
        <w:tc>
          <w:tcPr>
            <w:tcW w:type="dxa" w:w="1872"/>
          </w:tcPr>
          <w:p>
            <w:r>
              <w:t>5.26%</w:t>
            </w:r>
          </w:p>
        </w:tc>
        <w:tc>
          <w:tcPr>
            <w:tcW w:type="dxa" w:w="1872"/>
          </w:tcPr>
          <w:p>
            <w:r>
              <w:t>3.01%</w:t>
            </w:r>
          </w:p>
        </w:tc>
        <w:tc>
          <w:tcPr>
            <w:tcW w:type="dxa" w:w="1872"/>
          </w:tcPr>
          <w:p>
            <w:r>
              <w:t>Higher error rate than male</w:t>
            </w:r>
          </w:p>
        </w:tc>
      </w:tr>
      <w:tr>
        <w:tc>
          <w:tcPr>
            <w:tcW w:type="dxa" w:w="1872"/>
            <w:shd w:val="clear" w:color="auto" w:fill="F2F2F2"/>
          </w:tcPr>
          <w:p>
            <w:r>
              <w:t>Caucasian</w:t>
            </w:r>
          </w:p>
        </w:tc>
        <w:tc>
          <w:tcPr>
            <w:tcW w:type="dxa" w:w="1872"/>
            <w:shd w:val="clear" w:color="auto" w:fill="F2F2F2"/>
          </w:tcPr>
          <w:p>
            <w:r>
              <w:t>423</w:t>
            </w:r>
          </w:p>
        </w:tc>
        <w:tc>
          <w:tcPr>
            <w:tcW w:type="dxa" w:w="1872"/>
            <w:shd w:val="clear" w:color="auto" w:fill="F2F2F2"/>
          </w:tcPr>
          <w:p>
            <w:r>
              <w:t>4.96%</w:t>
            </w:r>
          </w:p>
        </w:tc>
        <w:tc>
          <w:tcPr>
            <w:tcW w:type="dxa" w:w="1872"/>
            <w:shd w:val="clear" w:color="auto" w:fill="F2F2F2"/>
          </w:tcPr>
          <w:p>
            <w:r>
              <w:t>0.47%</w:t>
            </w:r>
          </w:p>
        </w:tc>
        <w:tc>
          <w:tcPr>
            <w:tcW w:type="dxa" w:w="1872"/>
            <w:shd w:val="clear" w:color="auto" w:fill="F2F2F2"/>
          </w:tcPr>
          <w:p>
            <w:r>
              <w:t>High fidelity</w:t>
            </w:r>
          </w:p>
        </w:tc>
      </w:tr>
      <w:tr>
        <w:tc>
          <w:tcPr>
            <w:tcW w:type="dxa" w:w="1872"/>
          </w:tcPr>
          <w:p>
            <w:r>
              <w:t>Black</w:t>
            </w:r>
          </w:p>
        </w:tc>
        <w:tc>
          <w:tcPr>
            <w:tcW w:type="dxa" w:w="1872"/>
          </w:tcPr>
          <w:p>
            <w:r>
              <w:t>19</w:t>
            </w:r>
          </w:p>
        </w:tc>
        <w:tc>
          <w:tcPr>
            <w:tcW w:type="dxa" w:w="1872"/>
          </w:tcPr>
          <w:p>
            <w:r>
              <w:t>10.53%</w:t>
            </w:r>
          </w:p>
        </w:tc>
        <w:tc>
          <w:tcPr>
            <w:tcW w:type="dxa" w:w="1872"/>
          </w:tcPr>
          <w:p>
            <w:r>
              <w:t>0.00%</w:t>
            </w:r>
          </w:p>
        </w:tc>
        <w:tc>
          <w:tcPr>
            <w:tcW w:type="dxa" w:w="1872"/>
          </w:tcPr>
          <w:p>
            <w:r>
              <w:t>Small sample size (N=19)</w:t>
            </w:r>
          </w:p>
        </w:tc>
      </w:tr>
      <w:tr>
        <w:tc>
          <w:tcPr>
            <w:tcW w:type="dxa" w:w="1872"/>
            <w:shd w:val="clear" w:color="auto" w:fill="F2F2F2"/>
          </w:tcPr>
          <w:p>
            <w:r>
              <w:t>Asian</w:t>
            </w:r>
          </w:p>
        </w:tc>
        <w:tc>
          <w:tcPr>
            <w:tcW w:type="dxa" w:w="1872"/>
            <w:shd w:val="clear" w:color="auto" w:fill="F2F2F2"/>
          </w:tcPr>
          <w:p>
            <w:r>
              <w:t>33</w:t>
            </w:r>
          </w:p>
        </w:tc>
        <w:tc>
          <w:tcPr>
            <w:tcW w:type="dxa" w:w="1872"/>
            <w:shd w:val="clear" w:color="auto" w:fill="F2F2F2"/>
          </w:tcPr>
          <w:p>
            <w:r>
              <w:t>6.06%</w:t>
            </w:r>
          </w:p>
        </w:tc>
        <w:tc>
          <w:tcPr>
            <w:tcW w:type="dxa" w:w="1872"/>
            <w:shd w:val="clear" w:color="auto" w:fill="F2F2F2"/>
          </w:tcPr>
          <w:p>
            <w:r>
              <w:t>6.06%</w:t>
            </w:r>
          </w:p>
        </w:tc>
        <w:tc>
          <w:tcPr>
            <w:tcW w:type="dxa" w:w="1872"/>
            <w:shd w:val="clear" w:color="auto" w:fill="F2F2F2"/>
          </w:tcPr>
          <w:p>
            <w:r>
              <w:t>Elevated FNMR</w:t>
            </w:r>
          </w:p>
        </w:tc>
      </w:tr>
      <w:tr>
        <w:tc>
          <w:tcPr>
            <w:tcW w:type="dxa" w:w="1872"/>
          </w:tcPr>
          <w:p>
            <w:r>
              <w:t>Indian</w:t>
            </w:r>
          </w:p>
        </w:tc>
        <w:tc>
          <w:tcPr>
            <w:tcW w:type="dxa" w:w="1872"/>
          </w:tcPr>
          <w:p>
            <w:r>
              <w:t>21</w:t>
            </w:r>
          </w:p>
        </w:tc>
        <w:tc>
          <w:tcPr>
            <w:tcW w:type="dxa" w:w="1872"/>
          </w:tcPr>
          <w:p>
            <w:r>
              <w:t>4.76%</w:t>
            </w:r>
          </w:p>
        </w:tc>
        <w:tc>
          <w:tcPr>
            <w:tcW w:type="dxa" w:w="1872"/>
          </w:tcPr>
          <w:p>
            <w:r>
              <w:t>4.76%</w:t>
            </w:r>
          </w:p>
        </w:tc>
        <w:tc>
          <w:tcPr>
            <w:tcW w:type="dxa" w:w="1872"/>
          </w:tcPr>
          <w:p>
            <w:r>
              <w:t>Elevated FNMR</w:t>
            </w:r>
          </w:p>
        </w:tc>
      </w:tr>
    </w:tbl>
    <w:p/>
    <w:p>
      <w:r>
        <w:rPr>
          <w:b/>
        </w:rPr>
        <w:t xml:space="preserve">Bias Finding &amp; Compliance Notice: </w:t>
      </w:r>
      <w:r>
        <w:t>InsightFace exhibits a gender gap with a higher FNMR for females (3.01%) compared to males (0.28%). Asian and Indian subgroups showed an FNMR of 6.06% and 4.76% respectively. The threshold tau = 0.23 was selected to balance global accuracy while minimizing false rejections across underrepresented demographics.</w:t>
      </w:r>
    </w:p>
    <w:p>
      <w:pPr>
        <w:pStyle w:val="Heading1"/>
      </w:pPr>
      <w:r>
        <w:t>6. Implementation &amp; API Specifications</w:t>
      </w:r>
    </w:p>
    <w:p>
      <w:r>
        <w:t>The service is packaged into a clean FastAPI application exposing four primary endpoints:</w:t>
      </w:r>
    </w:p>
    <w:p>
      <w:pPr>
        <w:pStyle w:val="ListBullet"/>
      </w:pPr>
      <w:r>
        <w:rPr>
          <w:b/>
        </w:rPr>
        <w:t xml:space="preserve">POST /verify/profile: </w:t>
      </w:r>
      <w:r>
        <w:t>Hinge-style verification comparing sequential selfie frames against one or more profile pictures. Returns verified status, liveness check result, max similarity score, and list of individual photo scores.</w:t>
      </w:r>
    </w:p>
    <w:p>
      <w:pPr>
        <w:pStyle w:val="ListBullet"/>
      </w:pPr>
      <w:r>
        <w:rPr>
          <w:b/>
        </w:rPr>
        <w:t xml:space="preserve">POST /verify/id: </w:t>
      </w:r>
      <w:r>
        <w:t>Uploads an ID document photo and extracts a 512-dimensional L2-normalized embedding vector.</w:t>
      </w:r>
    </w:p>
    <w:p>
      <w:pPr>
        <w:pStyle w:val="ListBullet"/>
      </w:pPr>
      <w:r>
        <w:rPr>
          <w:b/>
        </w:rPr>
        <w:t xml:space="preserve">POST /verify/selfie: </w:t>
      </w:r>
      <w:r>
        <w:t>Uploads selfie frames, runs EAR blink tracking, and extracts a selfie embedding.</w:t>
      </w:r>
    </w:p>
    <w:p>
      <w:pPr>
        <w:pStyle w:val="ListBullet"/>
      </w:pPr>
      <w:r>
        <w:rPr>
          <w:b/>
        </w:rPr>
        <w:t xml:space="preserve">POST /verify/compare: </w:t>
      </w:r>
      <w:r>
        <w:t>Computes cosine similarity between two 512-dimensional embedding vectors.</w:t>
      </w:r>
    </w:p>
    <w:p>
      <w:pPr>
        <w:pStyle w:val="Heading1"/>
      </w:pPr>
      <w:r>
        <w:t>7. Integration, Security &amp; Test Status</w:t>
      </w:r>
    </w:p>
    <w:p>
      <w:r>
        <w:t>All biometric image data uploaded to the microservice is decoded and processed in transient memory buffers (np.frombuffer) and is strictly gated to sample/test data. All integration test suites pass successfully:</w:t>
        <w:br/>
        <w:t xml:space="preserve">  - test_service.py: PASSED (4/4 tests)</w:t>
        <w:br/>
        <w:t xml:space="preserve">  - test_profile_verification.py: PASSED (3/3 multi-photo scenarios)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