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Decentralized Self-Sovereign Identity (SSI) 3-VM Enterprise Platform</w:t>
      </w:r>
    </w:p>
    <w:p>
      <w:pPr>
        <w:jc w:val="center"/>
      </w:pPr>
      <w:r>
        <w:rPr>
          <w:i/>
          <w:color w:val="646464"/>
          <w:sz w:val="26"/>
        </w:rPr>
        <w:t>Comprehensive Technical Specification, Blockchain Engineering &amp; Architecture Report</w:t>
      </w:r>
    </w:p>
    <w:p>
      <w:pPr>
        <w:jc w:val="center"/>
      </w:pPr>
      <w:r>
        <w:rPr>
          <w:color w:val="787878"/>
          <w:sz w:val="19"/>
        </w:rPr>
        <w:t>Target: Academic &amp; Industry Evaluation | Ecosystem Version: 2.0 | Date: September 2026</w:t>
      </w:r>
    </w:p>
    <w:p>
      <w:pPr>
        <w:spacing w:after="240"/>
      </w:pPr>
    </w:p>
    <w:p>
      <w:pPr>
        <w:pStyle w:val="Heading1"/>
      </w:pPr>
      <w:r>
        <w:rPr>
          <w:color w:val="1F4E79"/>
        </w:rPr>
        <w:t>1. Executive Summary &amp; System Overview</w:t>
      </w:r>
    </w:p>
    <w:p>
      <w:r>
        <w:t>This document details the engineering design, cryptographic protocols, smart contract architecture, and network deployment of a decentralized Self-Sovereign Identity (SSI) multi-tenant platform. The implementation adheres strictly to the W3C Decentralized Identifiers (DIDs) v1.0 standard, W3C Verifiable Credentials (VCs) v1.1/2.0 data model, and DIDComm v2 peer-to-peer secure messaging specifications.</w:t>
      </w:r>
    </w:p>
    <w:tbl>
      <w:tblPr>
        <w:tblW w:type="auto" w:w="0"/>
        <w:jc w:val="center"/>
        <w:tblLook w:firstColumn="1" w:firstRow="1" w:lastColumn="0" w:lastRow="0" w:noHBand="0" w:noVBand="1" w:val="04A0"/>
      </w:tblPr>
      <w:tblGrid>
        <w:gridCol w:w="9360"/>
      </w:tblGrid>
      <w:tr>
        <w:tc>
          <w:tcPr>
            <w:tcW w:type="dxa" w:w="9360"/>
            <w:shd w:fill="EBF1F5"/>
            <w:tcMar>
              <w:top w:w="140" w:type="dxa"/>
              <w:bottom w:w="140" w:type="dxa"/>
              <w:left w:w="200" w:type="dxa"/>
              <w:right w:w="200" w:type="dxa"/>
            </w:tcMar>
          </w:tcPr>
          <w:p>
            <w:r>
              <w:rPr>
                <w:rFonts w:ascii="Calibri" w:hAnsi="Calibri"/>
                <w:b/>
                <w:color w:val="1F4E79"/>
                <w:sz w:val="20"/>
              </w:rPr>
              <w:t xml:space="preserve">📌 CORE CRYPTOGRAPHIC PRINCIPLE: </w:t>
            </w:r>
            <w:r>
              <w:rPr>
                <w:rFonts w:ascii="Calibri" w:hAnsi="Calibri"/>
                <w:sz w:val="19"/>
              </w:rPr>
              <w:t>The system operates with zero third-party verification callbacks. Verifiers validate academic degree credentials directly against the private Ethereum blockchain using asymmetric cryptography (ECDSA on secp256k1), with zero student personal data written on-chain.</w:t>
            </w:r>
          </w:p>
        </w:tc>
      </w:tr>
    </w:tbl>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fill="1F4E79"/>
            <w:tcMar>
              <w:top w:w="120" w:type="dxa"/>
              <w:bottom w:w="120" w:type="dxa"/>
              <w:left w:w="150" w:type="dxa"/>
              <w:right w:w="150" w:type="dxa"/>
            </w:tcMar>
          </w:tcPr>
          <w:p>
            <w:pPr>
              <w:jc w:val="left"/>
            </w:pPr>
            <w:r>
              <w:rPr>
                <w:rFonts w:ascii="Calibri" w:hAnsi="Calibri"/>
                <w:b/>
                <w:color w:val="FFFFFF"/>
                <w:sz w:val="20"/>
              </w:rPr>
              <w:t>Domain / Role</w:t>
            </w:r>
          </w:p>
        </w:tc>
        <w:tc>
          <w:tcPr>
            <w:tcW w:type="dxa" w:w="1872"/>
            <w:shd w:fill="1F4E79"/>
            <w:tcMar>
              <w:top w:w="120" w:type="dxa"/>
              <w:bottom w:w="120" w:type="dxa"/>
              <w:left w:w="150" w:type="dxa"/>
              <w:right w:w="150" w:type="dxa"/>
            </w:tcMar>
          </w:tcPr>
          <w:p>
            <w:pPr>
              <w:jc w:val="left"/>
            </w:pPr>
            <w:r>
              <w:rPr>
                <w:rFonts w:ascii="Calibri" w:hAnsi="Calibri"/>
                <w:b/>
                <w:color w:val="FFFFFF"/>
                <w:sz w:val="20"/>
              </w:rPr>
              <w:t>Microservice</w:t>
            </w:r>
          </w:p>
        </w:tc>
        <w:tc>
          <w:tcPr>
            <w:tcW w:type="dxa" w:w="1008"/>
            <w:shd w:fill="1F4E79"/>
            <w:tcMar>
              <w:top w:w="120" w:type="dxa"/>
              <w:bottom w:w="120" w:type="dxa"/>
              <w:left w:w="150" w:type="dxa"/>
              <w:right w:w="150" w:type="dxa"/>
            </w:tcMar>
          </w:tcPr>
          <w:p>
            <w:pPr>
              <w:jc w:val="left"/>
            </w:pPr>
            <w:r>
              <w:rPr>
                <w:rFonts w:ascii="Calibri" w:hAnsi="Calibri"/>
                <w:b/>
                <w:color w:val="FFFFFF"/>
                <w:sz w:val="20"/>
              </w:rPr>
              <w:t>Port</w:t>
            </w:r>
          </w:p>
        </w:tc>
        <w:tc>
          <w:tcPr>
            <w:tcW w:type="dxa" w:w="2448"/>
            <w:shd w:fill="1F4E79"/>
            <w:tcMar>
              <w:top w:w="120" w:type="dxa"/>
              <w:bottom w:w="120" w:type="dxa"/>
              <w:left w:w="150" w:type="dxa"/>
              <w:right w:w="150" w:type="dxa"/>
            </w:tcMar>
          </w:tcPr>
          <w:p>
            <w:pPr>
              <w:jc w:val="left"/>
            </w:pPr>
            <w:r>
              <w:rPr>
                <w:rFonts w:ascii="Calibri" w:hAnsi="Calibri"/>
                <w:b/>
                <w:color w:val="FFFFFF"/>
                <w:sz w:val="20"/>
              </w:rPr>
              <w:t>Cryptographic Identity / Address</w:t>
            </w:r>
          </w:p>
        </w:tc>
        <w:tc>
          <w:tcPr>
            <w:tcW w:type="dxa" w:w="2448"/>
            <w:shd w:fill="1F4E79"/>
            <w:tcMar>
              <w:top w:w="120" w:type="dxa"/>
              <w:bottom w:w="120" w:type="dxa"/>
              <w:left w:w="150" w:type="dxa"/>
              <w:right w:w="150" w:type="dxa"/>
            </w:tcMar>
          </w:tcPr>
          <w:p>
            <w:pPr>
              <w:jc w:val="left"/>
            </w:pPr>
            <w:r>
              <w:rPr>
                <w:rFonts w:ascii="Calibri" w:hAnsi="Calibri"/>
                <w:b/>
                <w:color w:val="FFFFFF"/>
                <w:sz w:val="20"/>
              </w:rPr>
              <w:t>Primary Function</w:t>
            </w:r>
          </w:p>
        </w:tc>
      </w:tr>
      <w:tr>
        <w:tc>
          <w:tcPr>
            <w:tcW w:type="dxa" w:w="1584"/>
            <w:shd w:fill="FFFFFF"/>
            <w:tcMar>
              <w:top w:w="100" w:type="dxa"/>
              <w:bottom w:w="100" w:type="dxa"/>
              <w:left w:w="150" w:type="dxa"/>
              <w:right w:w="150" w:type="dxa"/>
            </w:tcMar>
          </w:tcPr>
          <w:p>
            <w:r>
              <w:rPr>
                <w:rFonts w:ascii="Calibri" w:hAnsi="Calibri"/>
                <w:sz w:val="19"/>
              </w:rPr>
              <w:t>Trust Root</w:t>
            </w:r>
          </w:p>
        </w:tc>
        <w:tc>
          <w:tcPr>
            <w:tcW w:type="dxa" w:w="1872"/>
            <w:shd w:fill="FFFFFF"/>
            <w:tcMar>
              <w:top w:w="100" w:type="dxa"/>
              <w:bottom w:w="100" w:type="dxa"/>
              <w:left w:w="150" w:type="dxa"/>
              <w:right w:w="150" w:type="dxa"/>
            </w:tcMar>
          </w:tcPr>
          <w:p>
            <w:r>
              <w:rPr>
                <w:rFonts w:ascii="Calibri" w:hAnsi="Calibri"/>
                <w:sz w:val="19"/>
              </w:rPr>
              <w:t>Geth PoA Blockchain</w:t>
            </w:r>
          </w:p>
        </w:tc>
        <w:tc>
          <w:tcPr>
            <w:tcW w:type="dxa" w:w="1008"/>
            <w:shd w:fill="FFFFFF"/>
            <w:tcMar>
              <w:top w:w="100" w:type="dxa"/>
              <w:bottom w:w="100" w:type="dxa"/>
              <w:left w:w="150" w:type="dxa"/>
              <w:right w:w="150" w:type="dxa"/>
            </w:tcMar>
          </w:tcPr>
          <w:p>
            <w:r>
              <w:rPr>
                <w:rFonts w:ascii="Calibri" w:hAnsi="Calibri"/>
                <w:sz w:val="19"/>
              </w:rPr>
              <w:t>8545</w:t>
            </w:r>
          </w:p>
        </w:tc>
        <w:tc>
          <w:tcPr>
            <w:tcW w:type="dxa" w:w="2448"/>
            <w:shd w:fill="FFFFFF"/>
            <w:tcMar>
              <w:top w:w="100" w:type="dxa"/>
              <w:bottom w:w="100" w:type="dxa"/>
              <w:left w:w="150" w:type="dxa"/>
              <w:right w:w="150" w:type="dxa"/>
            </w:tcMar>
          </w:tcPr>
          <w:p>
            <w:r>
              <w:rPr>
                <w:rFonts w:ascii="Calibri" w:hAnsi="Calibri"/>
                <w:sz w:val="19"/>
              </w:rPr>
              <w:t>Chain ID: 4321 (IP: 192.168.245.65)</w:t>
            </w:r>
          </w:p>
        </w:tc>
        <w:tc>
          <w:tcPr>
            <w:tcW w:type="dxa" w:w="2448"/>
            <w:shd w:fill="FFFFFF"/>
            <w:tcMar>
              <w:top w:w="100" w:type="dxa"/>
              <w:bottom w:w="100" w:type="dxa"/>
              <w:left w:w="150" w:type="dxa"/>
              <w:right w:w="150" w:type="dxa"/>
            </w:tcMar>
          </w:tcPr>
          <w:p>
            <w:r>
              <w:rPr>
                <w:rFonts w:ascii="Calibri" w:hAnsi="Calibri"/>
                <w:sz w:val="19"/>
              </w:rPr>
              <w:t>Decentralized DID &amp; VC Registry Ledger</w:t>
            </w:r>
          </w:p>
        </w:tc>
      </w:tr>
      <w:tr>
        <w:tc>
          <w:tcPr>
            <w:tcW w:type="dxa" w:w="1584"/>
            <w:shd w:fill="F2F4F7"/>
            <w:tcMar>
              <w:top w:w="100" w:type="dxa"/>
              <w:bottom w:w="100" w:type="dxa"/>
              <w:left w:w="150" w:type="dxa"/>
              <w:right w:w="150" w:type="dxa"/>
            </w:tcMar>
          </w:tcPr>
          <w:p>
            <w:r>
              <w:rPr>
                <w:rFonts w:ascii="Calibri" w:hAnsi="Calibri"/>
                <w:sz w:val="19"/>
              </w:rPr>
              <w:t>Trust Root</w:t>
            </w:r>
          </w:p>
        </w:tc>
        <w:tc>
          <w:tcPr>
            <w:tcW w:type="dxa" w:w="1872"/>
            <w:shd w:fill="F2F4F7"/>
            <w:tcMar>
              <w:top w:w="100" w:type="dxa"/>
              <w:bottom w:w="100" w:type="dxa"/>
              <w:left w:w="150" w:type="dxa"/>
              <w:right w:w="150" w:type="dxa"/>
            </w:tcMar>
          </w:tcPr>
          <w:p>
            <w:r>
              <w:rPr>
                <w:rFonts w:ascii="Calibri" w:hAnsi="Calibri"/>
                <w:sz w:val="19"/>
              </w:rPr>
              <w:t>EthereumDIDRegistry</w:t>
            </w:r>
          </w:p>
        </w:tc>
        <w:tc>
          <w:tcPr>
            <w:tcW w:type="dxa" w:w="1008"/>
            <w:shd w:fill="F2F4F7"/>
            <w:tcMar>
              <w:top w:w="100" w:type="dxa"/>
              <w:bottom w:w="100" w:type="dxa"/>
              <w:left w:w="150" w:type="dxa"/>
              <w:right w:w="150" w:type="dxa"/>
            </w:tcMar>
          </w:tcPr>
          <w:p>
            <w:r>
              <w:rPr>
                <w:rFonts w:ascii="Calibri" w:hAnsi="Calibri"/>
                <w:sz w:val="19"/>
              </w:rPr>
              <w:t>On-Chain</w:t>
            </w:r>
          </w:p>
        </w:tc>
        <w:tc>
          <w:tcPr>
            <w:tcW w:type="dxa" w:w="2448"/>
            <w:shd w:fill="F2F4F7"/>
            <w:tcMar>
              <w:top w:w="100" w:type="dxa"/>
              <w:bottom w:w="100" w:type="dxa"/>
              <w:left w:w="150" w:type="dxa"/>
              <w:right w:w="150" w:type="dxa"/>
            </w:tcMar>
          </w:tcPr>
          <w:p>
            <w:r>
              <w:rPr>
                <w:rFonts w:ascii="Calibri" w:hAnsi="Calibri"/>
                <w:sz w:val="19"/>
              </w:rPr>
              <w:t>0x0130110D59e0b9475642D5c12dd616B3c4ede79A</w:t>
            </w:r>
          </w:p>
        </w:tc>
        <w:tc>
          <w:tcPr>
            <w:tcW w:type="dxa" w:w="2448"/>
            <w:shd w:fill="F2F4F7"/>
            <w:tcMar>
              <w:top w:w="100" w:type="dxa"/>
              <w:bottom w:w="100" w:type="dxa"/>
              <w:left w:w="150" w:type="dxa"/>
              <w:right w:w="150" w:type="dxa"/>
            </w:tcMar>
          </w:tcPr>
          <w:p>
            <w:r>
              <w:rPr>
                <w:rFonts w:ascii="Calibri" w:hAnsi="Calibri"/>
                <w:sz w:val="19"/>
              </w:rPr>
              <w:t>EIP-1056 On-Chain DID Resolution Standard</w:t>
            </w:r>
          </w:p>
        </w:tc>
      </w:tr>
      <w:tr>
        <w:tc>
          <w:tcPr>
            <w:tcW w:type="dxa" w:w="1584"/>
            <w:shd w:fill="FFFFFF"/>
            <w:tcMar>
              <w:top w:w="100" w:type="dxa"/>
              <w:bottom w:w="100" w:type="dxa"/>
              <w:left w:w="150" w:type="dxa"/>
              <w:right w:w="150" w:type="dxa"/>
            </w:tcMar>
          </w:tcPr>
          <w:p>
            <w:r>
              <w:rPr>
                <w:rFonts w:ascii="Calibri" w:hAnsi="Calibri"/>
                <w:sz w:val="19"/>
              </w:rPr>
              <w:t>Trust Root</w:t>
            </w:r>
          </w:p>
        </w:tc>
        <w:tc>
          <w:tcPr>
            <w:tcW w:type="dxa" w:w="1872"/>
            <w:shd w:fill="FFFFFF"/>
            <w:tcMar>
              <w:top w:w="100" w:type="dxa"/>
              <w:bottom w:w="100" w:type="dxa"/>
              <w:left w:w="150" w:type="dxa"/>
              <w:right w:w="150" w:type="dxa"/>
            </w:tcMar>
          </w:tcPr>
          <w:p>
            <w:r>
              <w:rPr>
                <w:rFonts w:ascii="Calibri" w:hAnsi="Calibri"/>
                <w:sz w:val="19"/>
              </w:rPr>
              <w:t>VCRegistry Contract</w:t>
            </w:r>
          </w:p>
        </w:tc>
        <w:tc>
          <w:tcPr>
            <w:tcW w:type="dxa" w:w="1008"/>
            <w:shd w:fill="FFFFFF"/>
            <w:tcMar>
              <w:top w:w="100" w:type="dxa"/>
              <w:bottom w:w="100" w:type="dxa"/>
              <w:left w:w="150" w:type="dxa"/>
              <w:right w:w="150" w:type="dxa"/>
            </w:tcMar>
          </w:tcPr>
          <w:p>
            <w:r>
              <w:rPr>
                <w:rFonts w:ascii="Calibri" w:hAnsi="Calibri"/>
                <w:sz w:val="19"/>
              </w:rPr>
              <w:t>On-Chain</w:t>
            </w:r>
          </w:p>
        </w:tc>
        <w:tc>
          <w:tcPr>
            <w:tcW w:type="dxa" w:w="2448"/>
            <w:shd w:fill="FFFFFF"/>
            <w:tcMar>
              <w:top w:w="100" w:type="dxa"/>
              <w:bottom w:w="100" w:type="dxa"/>
              <w:left w:w="150" w:type="dxa"/>
              <w:right w:w="150" w:type="dxa"/>
            </w:tcMar>
          </w:tcPr>
          <w:p>
            <w:r>
              <w:rPr>
                <w:rFonts w:ascii="Calibri" w:hAnsi="Calibri"/>
                <w:sz w:val="19"/>
              </w:rPr>
              <w:t>0x7f347d1AFb2E5D47eD85FB67E8181d6DaBB37645</w:t>
            </w:r>
          </w:p>
        </w:tc>
        <w:tc>
          <w:tcPr>
            <w:tcW w:type="dxa" w:w="2448"/>
            <w:shd w:fill="FFFFFF"/>
            <w:tcMar>
              <w:top w:w="100" w:type="dxa"/>
              <w:bottom w:w="100" w:type="dxa"/>
              <w:left w:w="150" w:type="dxa"/>
              <w:right w:w="150" w:type="dxa"/>
            </w:tcMar>
          </w:tcPr>
          <w:p>
            <w:r>
              <w:rPr>
                <w:rFonts w:ascii="Calibri" w:hAnsi="Calibri"/>
                <w:sz w:val="19"/>
              </w:rPr>
              <w:t>ERC-2771 Gasless Multi-Tenant Revocation Registry</w:t>
            </w:r>
          </w:p>
        </w:tc>
      </w:tr>
      <w:tr>
        <w:tc>
          <w:tcPr>
            <w:tcW w:type="dxa" w:w="1584"/>
            <w:shd w:fill="F2F4F7"/>
            <w:tcMar>
              <w:top w:w="100" w:type="dxa"/>
              <w:bottom w:w="100" w:type="dxa"/>
              <w:left w:w="150" w:type="dxa"/>
              <w:right w:w="150" w:type="dxa"/>
            </w:tcMar>
          </w:tcPr>
          <w:p>
            <w:r>
              <w:rPr>
                <w:rFonts w:ascii="Calibri" w:hAnsi="Calibri"/>
                <w:sz w:val="19"/>
              </w:rPr>
              <w:t>Issuer VM</w:t>
            </w:r>
          </w:p>
        </w:tc>
        <w:tc>
          <w:tcPr>
            <w:tcW w:type="dxa" w:w="1872"/>
            <w:shd w:fill="F2F4F7"/>
            <w:tcMar>
              <w:top w:w="100" w:type="dxa"/>
              <w:bottom w:w="100" w:type="dxa"/>
              <w:left w:w="150" w:type="dxa"/>
              <w:right w:w="150" w:type="dxa"/>
            </w:tcMar>
          </w:tcPr>
          <w:p>
            <w:r>
              <w:rPr>
                <w:rFonts w:ascii="Calibri" w:hAnsi="Calibri"/>
                <w:sz w:val="19"/>
              </w:rPr>
              <w:t>Issuer Service &amp; UI</w:t>
            </w:r>
          </w:p>
        </w:tc>
        <w:tc>
          <w:tcPr>
            <w:tcW w:type="dxa" w:w="1008"/>
            <w:shd w:fill="F2F4F7"/>
            <w:tcMar>
              <w:top w:w="100" w:type="dxa"/>
              <w:bottom w:w="100" w:type="dxa"/>
              <w:left w:w="150" w:type="dxa"/>
              <w:right w:w="150" w:type="dxa"/>
            </w:tcMar>
          </w:tcPr>
          <w:p>
            <w:r>
              <w:rPr>
                <w:rFonts w:ascii="Calibri" w:hAnsi="Calibri"/>
                <w:sz w:val="19"/>
              </w:rPr>
              <w:t>3000 / 5173</w:t>
            </w:r>
          </w:p>
        </w:tc>
        <w:tc>
          <w:tcPr>
            <w:tcW w:type="dxa" w:w="2448"/>
            <w:shd w:fill="F2F4F7"/>
            <w:tcMar>
              <w:top w:w="100" w:type="dxa"/>
              <w:bottom w:w="100" w:type="dxa"/>
              <w:left w:w="150" w:type="dxa"/>
              <w:right w:w="150" w:type="dxa"/>
            </w:tcMar>
          </w:tcPr>
          <w:p>
            <w:r>
              <w:rPr>
                <w:rFonts w:ascii="Calibri" w:hAnsi="Calibri"/>
                <w:sz w:val="19"/>
              </w:rPr>
              <w:t>did:ethr:4321:0xc17561... (MIT Tech)</w:t>
            </w:r>
          </w:p>
        </w:tc>
        <w:tc>
          <w:tcPr>
            <w:tcW w:type="dxa" w:w="2448"/>
            <w:shd w:fill="F2F4F7"/>
            <w:tcMar>
              <w:top w:w="100" w:type="dxa"/>
              <w:bottom w:w="100" w:type="dxa"/>
              <w:left w:w="150" w:type="dxa"/>
              <w:right w:w="150" w:type="dxa"/>
            </w:tcMar>
          </w:tcPr>
          <w:p>
            <w:r>
              <w:rPr>
                <w:rFonts w:ascii="Calibri" w:hAnsi="Calibri"/>
                <w:sz w:val="19"/>
              </w:rPr>
              <w:t>1-Click Bulk Issuance &amp; SHA-256 PDF Hashing</w:t>
            </w:r>
          </w:p>
        </w:tc>
      </w:tr>
      <w:tr>
        <w:tc>
          <w:tcPr>
            <w:tcW w:type="dxa" w:w="1584"/>
            <w:shd w:fill="FFFFFF"/>
            <w:tcMar>
              <w:top w:w="100" w:type="dxa"/>
              <w:bottom w:w="100" w:type="dxa"/>
              <w:left w:w="150" w:type="dxa"/>
              <w:right w:w="150" w:type="dxa"/>
            </w:tcMar>
          </w:tcPr>
          <w:p>
            <w:r>
              <w:rPr>
                <w:rFonts w:ascii="Calibri" w:hAnsi="Calibri"/>
                <w:sz w:val="19"/>
              </w:rPr>
              <w:t>Messaging Relay</w:t>
            </w:r>
          </w:p>
        </w:tc>
        <w:tc>
          <w:tcPr>
            <w:tcW w:type="dxa" w:w="1872"/>
            <w:shd w:fill="FFFFFF"/>
            <w:tcMar>
              <w:top w:w="100" w:type="dxa"/>
              <w:bottom w:w="100" w:type="dxa"/>
              <w:left w:w="150" w:type="dxa"/>
              <w:right w:w="150" w:type="dxa"/>
            </w:tcMar>
          </w:tcPr>
          <w:p>
            <w:r>
              <w:rPr>
                <w:rFonts w:ascii="Calibri" w:hAnsi="Calibri"/>
                <w:sz w:val="19"/>
              </w:rPr>
              <w:t>DIDComm Mediator</w:t>
            </w:r>
          </w:p>
        </w:tc>
        <w:tc>
          <w:tcPr>
            <w:tcW w:type="dxa" w:w="1008"/>
            <w:shd w:fill="FFFFFF"/>
            <w:tcMar>
              <w:top w:w="100" w:type="dxa"/>
              <w:bottom w:w="100" w:type="dxa"/>
              <w:left w:w="150" w:type="dxa"/>
              <w:right w:w="150" w:type="dxa"/>
            </w:tcMar>
          </w:tcPr>
          <w:p>
            <w:r>
              <w:rPr>
                <w:rFonts w:ascii="Calibri" w:hAnsi="Calibri"/>
                <w:sz w:val="19"/>
              </w:rPr>
              <w:t>4000</w:t>
            </w:r>
          </w:p>
        </w:tc>
        <w:tc>
          <w:tcPr>
            <w:tcW w:type="dxa" w:w="2448"/>
            <w:shd w:fill="FFFFFF"/>
            <w:tcMar>
              <w:top w:w="100" w:type="dxa"/>
              <w:bottom w:w="100" w:type="dxa"/>
              <w:left w:w="150" w:type="dxa"/>
              <w:right w:w="150" w:type="dxa"/>
            </w:tcMar>
          </w:tcPr>
          <w:p>
            <w:r>
              <w:rPr>
                <w:rFonts w:ascii="Calibri" w:hAnsi="Calibri"/>
                <w:sz w:val="19"/>
              </w:rPr>
              <w:t>ws://localhost:4000 / HTTP Relay</w:t>
            </w:r>
          </w:p>
        </w:tc>
        <w:tc>
          <w:tcPr>
            <w:tcW w:type="dxa" w:w="2448"/>
            <w:shd w:fill="FFFFFF"/>
            <w:tcMar>
              <w:top w:w="100" w:type="dxa"/>
              <w:bottom w:w="100" w:type="dxa"/>
              <w:left w:w="150" w:type="dxa"/>
              <w:right w:w="150" w:type="dxa"/>
            </w:tcMar>
          </w:tcPr>
          <w:p>
            <w:r>
              <w:rPr>
                <w:rFonts w:ascii="Calibri" w:hAnsi="Calibri"/>
                <w:sz w:val="19"/>
              </w:rPr>
              <w:t>Asynchronous WebSocket &amp; Offline Mailbox Router</w:t>
            </w:r>
          </w:p>
        </w:tc>
      </w:tr>
      <w:tr>
        <w:tc>
          <w:tcPr>
            <w:tcW w:type="dxa" w:w="1584"/>
            <w:shd w:fill="F2F4F7"/>
            <w:tcMar>
              <w:top w:w="100" w:type="dxa"/>
              <w:bottom w:w="100" w:type="dxa"/>
              <w:left w:w="150" w:type="dxa"/>
              <w:right w:w="150" w:type="dxa"/>
            </w:tcMar>
          </w:tcPr>
          <w:p>
            <w:r>
              <w:rPr>
                <w:rFonts w:ascii="Calibri" w:hAnsi="Calibri"/>
                <w:sz w:val="19"/>
              </w:rPr>
              <w:t>Holder VM</w:t>
            </w:r>
          </w:p>
        </w:tc>
        <w:tc>
          <w:tcPr>
            <w:tcW w:type="dxa" w:w="1872"/>
            <w:shd w:fill="F2F4F7"/>
            <w:tcMar>
              <w:top w:w="100" w:type="dxa"/>
              <w:bottom w:w="100" w:type="dxa"/>
              <w:left w:w="150" w:type="dxa"/>
              <w:right w:w="150" w:type="dxa"/>
            </w:tcMar>
          </w:tcPr>
          <w:p>
            <w:r>
              <w:rPr>
                <w:rFonts w:ascii="Calibri" w:hAnsi="Calibri"/>
                <w:sz w:val="19"/>
              </w:rPr>
              <w:t>Holder Agent &amp; Wallet</w:t>
            </w:r>
          </w:p>
        </w:tc>
        <w:tc>
          <w:tcPr>
            <w:tcW w:type="dxa" w:w="1008"/>
            <w:shd w:fill="F2F4F7"/>
            <w:tcMar>
              <w:top w:w="100" w:type="dxa"/>
              <w:bottom w:w="100" w:type="dxa"/>
              <w:left w:w="150" w:type="dxa"/>
              <w:right w:w="150" w:type="dxa"/>
            </w:tcMar>
          </w:tcPr>
          <w:p>
            <w:r>
              <w:rPr>
                <w:rFonts w:ascii="Calibri" w:hAnsi="Calibri"/>
                <w:sz w:val="19"/>
              </w:rPr>
              <w:t>3001 / 5174</w:t>
            </w:r>
          </w:p>
        </w:tc>
        <w:tc>
          <w:tcPr>
            <w:tcW w:type="dxa" w:w="2448"/>
            <w:shd w:fill="F2F4F7"/>
            <w:tcMar>
              <w:top w:w="100" w:type="dxa"/>
              <w:bottom w:w="100" w:type="dxa"/>
              <w:left w:w="150" w:type="dxa"/>
              <w:right w:w="150" w:type="dxa"/>
            </w:tcMar>
          </w:tcPr>
          <w:p>
            <w:r>
              <w:rPr>
                <w:rFonts w:ascii="Calibri" w:hAnsi="Calibri"/>
                <w:sz w:val="19"/>
              </w:rPr>
              <w:t>did:ethr:4321:0x2199F9... (Student)</w:t>
            </w:r>
          </w:p>
        </w:tc>
        <w:tc>
          <w:tcPr>
            <w:tcW w:type="dxa" w:w="2448"/>
            <w:shd w:fill="F2F4F7"/>
            <w:tcMar>
              <w:top w:w="100" w:type="dxa"/>
              <w:bottom w:w="100" w:type="dxa"/>
              <w:left w:w="150" w:type="dxa"/>
              <w:right w:w="150" w:type="dxa"/>
            </w:tcMar>
          </w:tcPr>
          <w:p>
            <w:r>
              <w:rPr>
                <w:rFonts w:ascii="Calibri" w:hAnsi="Calibri"/>
                <w:sz w:val="19"/>
              </w:rPr>
              <w:t>Non-Custodial IndexedDB Key Vault &amp; VP Generator</w:t>
            </w:r>
          </w:p>
        </w:tc>
      </w:tr>
      <w:tr>
        <w:tc>
          <w:tcPr>
            <w:tcW w:type="dxa" w:w="1584"/>
            <w:shd w:fill="FFFFFF"/>
            <w:tcMar>
              <w:top w:w="100" w:type="dxa"/>
              <w:bottom w:w="100" w:type="dxa"/>
              <w:left w:w="150" w:type="dxa"/>
              <w:right w:w="150" w:type="dxa"/>
            </w:tcMar>
          </w:tcPr>
          <w:p>
            <w:r>
              <w:rPr>
                <w:rFonts w:ascii="Calibri" w:hAnsi="Calibri"/>
                <w:sz w:val="19"/>
              </w:rPr>
              <w:t>Verifier Domain</w:t>
            </w:r>
          </w:p>
        </w:tc>
        <w:tc>
          <w:tcPr>
            <w:tcW w:type="dxa" w:w="1872"/>
            <w:shd w:fill="FFFFFF"/>
            <w:tcMar>
              <w:top w:w="100" w:type="dxa"/>
              <w:bottom w:w="100" w:type="dxa"/>
              <w:left w:w="150" w:type="dxa"/>
              <w:right w:w="150" w:type="dxa"/>
            </w:tcMar>
          </w:tcPr>
          <w:p>
            <w:r>
              <w:rPr>
                <w:rFonts w:ascii="Calibri" w:hAnsi="Calibri"/>
                <w:sz w:val="19"/>
              </w:rPr>
              <w:t>Verifier Agent &amp; Portal</w:t>
            </w:r>
          </w:p>
        </w:tc>
        <w:tc>
          <w:tcPr>
            <w:tcW w:type="dxa" w:w="1008"/>
            <w:shd w:fill="FFFFFF"/>
            <w:tcMar>
              <w:top w:w="100" w:type="dxa"/>
              <w:bottom w:w="100" w:type="dxa"/>
              <w:left w:w="150" w:type="dxa"/>
              <w:right w:w="150" w:type="dxa"/>
            </w:tcMar>
          </w:tcPr>
          <w:p>
            <w:r>
              <w:rPr>
                <w:rFonts w:ascii="Calibri" w:hAnsi="Calibri"/>
                <w:sz w:val="19"/>
              </w:rPr>
              <w:t>8081 / 5175</w:t>
            </w:r>
          </w:p>
        </w:tc>
        <w:tc>
          <w:tcPr>
            <w:tcW w:type="dxa" w:w="2448"/>
            <w:shd w:fill="FFFFFF"/>
            <w:tcMar>
              <w:top w:w="100" w:type="dxa"/>
              <w:bottom w:w="100" w:type="dxa"/>
              <w:left w:w="150" w:type="dxa"/>
              <w:right w:w="150" w:type="dxa"/>
            </w:tcMar>
          </w:tcPr>
          <w:p>
            <w:r>
              <w:rPr>
                <w:rFonts w:ascii="Calibri" w:hAnsi="Calibri"/>
                <w:sz w:val="19"/>
              </w:rPr>
              <w:t>did:ethr:4321:0xVerifier...</w:t>
            </w:r>
          </w:p>
        </w:tc>
        <w:tc>
          <w:tcPr>
            <w:tcW w:type="dxa" w:w="2448"/>
            <w:shd w:fill="FFFFFF"/>
            <w:tcMar>
              <w:top w:w="100" w:type="dxa"/>
              <w:bottom w:w="100" w:type="dxa"/>
              <w:left w:w="150" w:type="dxa"/>
              <w:right w:w="150" w:type="dxa"/>
            </w:tcMar>
          </w:tcPr>
          <w:p>
            <w:r>
              <w:rPr>
                <w:rFonts w:ascii="Calibri" w:hAnsi="Calibri"/>
                <w:sz w:val="19"/>
              </w:rPr>
              <w:t>Ephemeral ZK &amp; Stored Audit Signature Validator</w:t>
            </w:r>
          </w:p>
        </w:tc>
      </w:tr>
    </w:tbl>
    <w:p/>
    <w:p>
      <w:pPr>
        <w:pStyle w:val="Heading1"/>
      </w:pPr>
      <w:r>
        <w:rPr>
          <w:color w:val="1F4E79"/>
        </w:rPr>
        <w:t>2. Ubuntu VM Network Recovery &amp; Configuration</w:t>
      </w:r>
    </w:p>
    <w:p>
      <w:r>
        <w:t>During environment diagnostics, an IP subnet mismatch was detected between the host VMware NAT adapter (VMnet8) and the Ubuntu guest VM. The host NAT was listening on 192.168.245.0/24 (Gateway: 192.168.245.2), whereas the VM had a legacy static configuration on 192.168.233.x.</w:t>
      </w:r>
    </w:p>
    <w:p>
      <w:r>
        <w:t>To permanently resolve this across all system reboots and shutdowns, the following automated configuration was applied:</w:t>
      </w:r>
    </w:p>
    <w:tbl>
      <w:tblPr>
        <w:tblW w:type="auto" w:w="0"/>
        <w:jc w:val="center"/>
        <w:tblLook w:firstColumn="1" w:firstRow="1" w:lastColumn="0" w:lastRow="0" w:noHBand="0" w:noVBand="1" w:val="04A0"/>
      </w:tblPr>
      <w:tblGrid>
        <w:gridCol w:w="9360"/>
      </w:tblGrid>
      <w:tr>
        <w:tc>
          <w:tcPr>
            <w:tcW w:type="dxa" w:w="9360"/>
            <w:shd w:fill="2B2B2B"/>
            <w:tcMar>
              <w:top w:w="120" w:type="dxa"/>
              <w:bottom w:w="120" w:type="dxa"/>
              <w:left w:w="150" w:type="dxa"/>
              <w:right w:w="150" w:type="dxa"/>
            </w:tcMar>
          </w:tcPr>
          <w:p>
            <w:pPr>
              <w:spacing w:before="40" w:after="40"/>
            </w:pPr>
            <w:r>
              <w:rPr>
                <w:rFonts w:ascii="Consolas" w:hAnsi="Consolas"/>
                <w:color w:val="DCDCDC"/>
                <w:sz w:val="17"/>
              </w:rPr>
              <w:t># 1. Configure NetworkManager profile for ens33</w:t>
              <w:br/>
              <w:t>sudo nmcli connection modify ens33 ipv4.addresses 192.168.245.65/24 ipv4.gateway 192.168.245.2 ipv4.dns "8.8.8.8 10.10.10.10" ipv4.method manual connection.autoconnect yes</w:t>
              <w:br/>
              <w:t>sudo nmcli connection up ens33</w:t>
              <w:br/>
              <w:br/>
              <w:t># 2. Write permanent Netplan configuration</w:t>
              <w:br/>
              <w:t>sudo bash -c 'cat &lt;&lt;EOF &gt; /etc/netplan/01-netcfg.yaml</w:t>
              <w:br/>
              <w:t>network:</w:t>
              <w:br/>
              <w:t xml:space="preserve">  version: 2</w:t>
              <w:br/>
              <w:t xml:space="preserve">  renderer: NetworkManager</w:t>
              <w:br/>
              <w:t xml:space="preserve">  ethernets:</w:t>
              <w:br/>
              <w:t xml:space="preserve">    ens33:</w:t>
              <w:br/>
              <w:t xml:space="preserve">      dhcp4: false</w:t>
              <w:br/>
              <w:t xml:space="preserve">      addresses: [192.168.245.65/24]</w:t>
              <w:br/>
              <w:t xml:space="preserve">      routes: [{to: default, via: 192.168.245.2}]</w:t>
              <w:br/>
              <w:t xml:space="preserve">      nameservers: {addresses: [8.8.8.8, 10.10.10.10]}</w:t>
              <w:br/>
              <w:t>EOF'</w:t>
              <w:br/>
              <w:t>sudo chmod 600 /etc/netplan/01-netcfg.yaml</w:t>
              <w:br/>
              <w:t>sudo netplan apply</w:t>
              <w:br/>
              <w:br/>
              <w:t># 3. Configure systemd-resolved DNS permanently</w:t>
              <w:br/>
              <w:t>sudo bash -c 'cat &lt;&lt;EOF &gt; /etc/systemd/resolved.conf</w:t>
              <w:br/>
              <w:t>[Resolve]</w:t>
              <w:br/>
              <w:t>DNS=8.8.8.8 10.10.10.10</w:t>
              <w:br/>
              <w:t>FallbackDNS=1.1.1.1 8.8.4.4</w:t>
              <w:br/>
              <w:t>Domains=~.</w:t>
              <w:br/>
              <w:t>EOF'</w:t>
              <w:br/>
              <w:t>sudo systemctl restart systemd-resolved</w:t>
              <w:br/>
              <w:t>echo -e "nameserver 8.8.8.8\nnameserver 10.10.10.10" | sudo tee /etc/resolv.conf</w:t>
            </w:r>
          </w:p>
        </w:tc>
      </w:tr>
    </w:tbl>
    <w:p/>
    <w:p>
      <w:pPr>
        <w:pStyle w:val="Heading1"/>
      </w:pPr>
      <w:r>
        <w:rPr>
          <w:color w:val="1F4E79"/>
        </w:rPr>
        <w:t>3. Smart Contract Engineering Deep-Dive</w:t>
      </w:r>
    </w:p>
    <w:p>
      <w:r>
        <w:t>The decentralized trust layer comprises two core smart contracts deployed on the private Geth blockchain node:</w:t>
      </w:r>
    </w:p>
    <w:p>
      <w:pPr>
        <w:pStyle w:val="Heading2"/>
      </w:pPr>
      <w:r>
        <w:t>A. EthereumDIDRegistry (EIP-1056 Standard)</w:t>
      </w:r>
    </w:p>
    <w:p>
      <w:r>
        <w:t>Deployed at 0x0130110D59e0b9475642D5c12dd616B3c4ede79A, this contract eliminates the gas cost of deploying unique smart contracts for each user. It maintains an identity mapping table where Ethereum addresses can rotate owners, assign temporary delegates, and emit on-chain attributes via logs.</w:t>
      </w:r>
    </w:p>
    <w:p>
      <w:pPr>
        <w:pStyle w:val="Heading2"/>
      </w:pPr>
      <w:r>
        <w:t>B. VCRegistry with ERC-2771 Gasless Forwarder</w:t>
      </w:r>
    </w:p>
    <w:p>
      <w:r>
        <w:t>Deployed at 0x7f347d1AFb2E5D47eD85FB67E8181d6DaBB37645, this contract supports enterprise multi-tenancy, batch verification, and gasless transactions. It uses inline Yul assembly to extract original signer addresses from calldata forwarded by an ERC-2771 paymaster relayer:</w:t>
      </w:r>
    </w:p>
    <w:tbl>
      <w:tblPr>
        <w:tblW w:type="auto" w:w="0"/>
        <w:jc w:val="center"/>
        <w:tblLook w:firstColumn="1" w:firstRow="1" w:lastColumn="0" w:lastRow="0" w:noHBand="0" w:noVBand="1" w:val="04A0"/>
      </w:tblPr>
      <w:tblGrid>
        <w:gridCol w:w="9360"/>
      </w:tblGrid>
      <w:tr>
        <w:tc>
          <w:tcPr>
            <w:tcW w:type="dxa" w:w="9360"/>
            <w:shd w:fill="2B2B2B"/>
            <w:tcMar>
              <w:top w:w="120" w:type="dxa"/>
              <w:bottom w:w="120" w:type="dxa"/>
              <w:left w:w="150" w:type="dxa"/>
              <w:right w:w="150" w:type="dxa"/>
            </w:tcMar>
          </w:tcPr>
          <w:p>
            <w:pPr>
              <w:spacing w:before="40" w:after="40"/>
            </w:pPr>
            <w:r>
              <w:rPr>
                <w:rFonts w:ascii="Consolas" w:hAnsi="Consolas"/>
                <w:color w:val="DCDCDC"/>
                <w:sz w:val="17"/>
              </w:rPr>
              <w:t>function _msgSender() internal view returns (address sender) {</w:t>
              <w:br/>
              <w:t xml:space="preserve">    if (isTrustedForwarder(msg.sender)) {</w:t>
              <w:br/>
              <w:t xml:space="preserve">        // Extracts the 20-byte original signer address appended by Trusted Forwarder</w:t>
              <w:br/>
              <w:t xml:space="preserve">        assembly {</w:t>
              <w:br/>
              <w:t xml:space="preserve">            sender := shr(96, calldataload(sub(calldatasize(), 20)))</w:t>
              <w:br/>
              <w:t xml:space="preserve">        }</w:t>
              <w:br/>
              <w:t xml:space="preserve">    } else {</w:t>
              <w:br/>
              <w:t xml:space="preserve">        return msg.sender;</w:t>
              <w:br/>
              <w:t xml:space="preserve">    }</w:t>
              <w:br/>
              <w:t>}</w:t>
            </w:r>
          </w:p>
        </w:tc>
      </w:tr>
    </w:tbl>
    <w:p/>
    <w:p>
      <w:pPr>
        <w:pStyle w:val="Heading1"/>
      </w:pPr>
      <w:r>
        <w:rPr>
          <w:color w:val="1F4E79"/>
        </w:rPr>
        <w:t>4. Cryptographic Proofs &amp; Mathematical Verification</w:t>
      </w:r>
    </w:p>
    <w:p>
      <w:r>
        <w:t>Verification operates purely on elliptic curve mathematics (secp256k1) and pre-image hash checks without requiring any network call to university databases: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9"/>
            <w:tcMar>
              <w:top w:w="120" w:type="dxa"/>
              <w:bottom w:w="120" w:type="dxa"/>
              <w:left w:w="150" w:type="dxa"/>
              <w:right w:w="150" w:type="dxa"/>
            </w:tcMar>
          </w:tcPr>
          <w:p>
            <w:pPr>
              <w:jc w:val="left"/>
            </w:pPr>
            <w:r>
              <w:rPr>
                <w:rFonts w:ascii="Calibri" w:hAnsi="Calibri"/>
                <w:b/>
                <w:color w:val="FFFFFF"/>
                <w:sz w:val="20"/>
              </w:rPr>
              <w:t>Verification Proof</w:t>
            </w:r>
          </w:p>
        </w:tc>
        <w:tc>
          <w:tcPr>
            <w:tcW w:type="dxa" w:w="3600"/>
            <w:shd w:fill="1F4E79"/>
            <w:tcMar>
              <w:top w:w="120" w:type="dxa"/>
              <w:bottom w:w="120" w:type="dxa"/>
              <w:left w:w="150" w:type="dxa"/>
              <w:right w:w="150" w:type="dxa"/>
            </w:tcMar>
          </w:tcPr>
          <w:p>
            <w:pPr>
              <w:jc w:val="left"/>
            </w:pPr>
            <w:r>
              <w:rPr>
                <w:rFonts w:ascii="Calibri" w:hAnsi="Calibri"/>
                <w:b/>
                <w:color w:val="FFFFFF"/>
                <w:sz w:val="20"/>
              </w:rPr>
              <w:t>Mathematical Formulation</w:t>
            </w:r>
          </w:p>
        </w:tc>
        <w:tc>
          <w:tcPr>
            <w:tcW w:type="dxa" w:w="3168"/>
            <w:shd w:fill="1F4E79"/>
            <w:tcMar>
              <w:top w:w="120" w:type="dxa"/>
              <w:bottom w:w="120" w:type="dxa"/>
              <w:left w:w="150" w:type="dxa"/>
              <w:right w:w="150" w:type="dxa"/>
            </w:tcMar>
          </w:tcPr>
          <w:p>
            <w:pPr>
              <w:jc w:val="left"/>
            </w:pPr>
            <w:r>
              <w:rPr>
                <w:rFonts w:ascii="Calibri" w:hAnsi="Calibri"/>
                <w:b/>
                <w:color w:val="FFFFFF"/>
                <w:sz w:val="20"/>
              </w:rPr>
              <w:t>Security &amp; Integrity Guarantee</w:t>
            </w:r>
          </w:p>
        </w:tc>
      </w:tr>
      <w:tr>
        <w:tc>
          <w:tcPr>
            <w:tcW w:type="dxa" w:w="2592"/>
            <w:shd w:fill="FFFFFF"/>
            <w:tcMar>
              <w:top w:w="100" w:type="dxa"/>
              <w:bottom w:w="100" w:type="dxa"/>
              <w:left w:w="150" w:type="dxa"/>
              <w:right w:w="150" w:type="dxa"/>
            </w:tcMar>
          </w:tcPr>
          <w:p>
            <w:r>
              <w:rPr>
                <w:rFonts w:ascii="Calibri" w:hAnsi="Calibri"/>
                <w:sz w:val="19"/>
              </w:rPr>
              <w:t>Proof 1: Issuer Authenticity</w:t>
            </w:r>
          </w:p>
        </w:tc>
        <w:tc>
          <w:tcPr>
            <w:tcW w:type="dxa" w:w="3600"/>
            <w:shd w:fill="FFFFFF"/>
            <w:tcMar>
              <w:top w:w="100" w:type="dxa"/>
              <w:bottom w:w="100" w:type="dxa"/>
              <w:left w:w="150" w:type="dxa"/>
              <w:right w:w="150" w:type="dxa"/>
            </w:tcMar>
          </w:tcPr>
          <w:p>
            <w:r>
              <w:rPr>
                <w:rFonts w:ascii="Calibri" w:hAnsi="Calibri"/>
                <w:sz w:val="19"/>
              </w:rPr>
              <w:t>e = SHA256(Header || Payload)</w:t>
              <w:br/>
              <w:t>Q = r^-1 * (sR - eG)</w:t>
              <w:br/>
              <w:t>last20Bytes(Keccak256(Q)) == VC.iss</w:t>
            </w:r>
          </w:p>
        </w:tc>
        <w:tc>
          <w:tcPr>
            <w:tcW w:type="dxa" w:w="3168"/>
            <w:shd w:fill="FFFFFF"/>
            <w:tcMar>
              <w:top w:w="100" w:type="dxa"/>
              <w:bottom w:w="100" w:type="dxa"/>
              <w:left w:w="150" w:type="dxa"/>
              <w:right w:w="150" w:type="dxa"/>
            </w:tcMar>
          </w:tcPr>
          <w:p>
            <w:r>
              <w:rPr>
                <w:rFonts w:ascii="Calibri" w:hAnsi="Calibri"/>
                <w:sz w:val="19"/>
              </w:rPr>
              <w:t>Guarantees the credential was authentically signed by the University private key (Non-repudiation).</w:t>
            </w:r>
          </w:p>
        </w:tc>
      </w:tr>
      <w:tr>
        <w:tc>
          <w:tcPr>
            <w:tcW w:type="dxa" w:w="2592"/>
            <w:shd w:fill="F2F4F7"/>
            <w:tcMar>
              <w:top w:w="100" w:type="dxa"/>
              <w:bottom w:w="100" w:type="dxa"/>
              <w:left w:w="150" w:type="dxa"/>
              <w:right w:w="150" w:type="dxa"/>
            </w:tcMar>
          </w:tcPr>
          <w:p>
            <w:r>
              <w:rPr>
                <w:rFonts w:ascii="Calibri" w:hAnsi="Calibri"/>
                <w:sz w:val="19"/>
              </w:rPr>
              <w:t>Proof 2: Holder Cryptographic Binding</w:t>
            </w:r>
          </w:p>
        </w:tc>
        <w:tc>
          <w:tcPr>
            <w:tcW w:type="dxa" w:w="3600"/>
            <w:shd w:fill="F2F4F7"/>
            <w:tcMar>
              <w:top w:w="100" w:type="dxa"/>
              <w:bottom w:w="100" w:type="dxa"/>
              <w:left w:w="150" w:type="dxa"/>
              <w:right w:w="150" w:type="dxa"/>
            </w:tcMar>
          </w:tcPr>
          <w:p>
            <w:r>
              <w:rPr>
                <w:rFonts w:ascii="Calibri" w:hAnsi="Calibri"/>
                <w:sz w:val="19"/>
              </w:rPr>
              <w:t>e_vp = SHA256(VP_Header || VP_Payload)</w:t>
              <w:br/>
              <w:t>Q_h = r_vp^-1 * (s_vp*R - e_vp*G)</w:t>
              <w:br/>
              <w:t>last20Bytes(Keccak256(Q_h)) == VC.sub</w:t>
            </w:r>
          </w:p>
        </w:tc>
        <w:tc>
          <w:tcPr>
            <w:tcW w:type="dxa" w:w="3168"/>
            <w:shd w:fill="F2F4F7"/>
            <w:tcMar>
              <w:top w:w="100" w:type="dxa"/>
              <w:bottom w:w="100" w:type="dxa"/>
              <w:left w:w="150" w:type="dxa"/>
              <w:right w:w="150" w:type="dxa"/>
            </w:tcMar>
          </w:tcPr>
          <w:p>
            <w:r>
              <w:rPr>
                <w:rFonts w:ascii="Calibri" w:hAnsi="Calibri"/>
                <w:sz w:val="19"/>
              </w:rPr>
              <w:t>Prevents credential theft. Proves the presenter is the actual subject/owner of the credential.</w:t>
            </w:r>
          </w:p>
        </w:tc>
      </w:tr>
      <w:tr>
        <w:tc>
          <w:tcPr>
            <w:tcW w:type="dxa" w:w="2592"/>
            <w:shd w:fill="FFFFFF"/>
            <w:tcMar>
              <w:top w:w="100" w:type="dxa"/>
              <w:bottom w:w="100" w:type="dxa"/>
              <w:left w:w="150" w:type="dxa"/>
              <w:right w:w="150" w:type="dxa"/>
            </w:tcMar>
          </w:tcPr>
          <w:p>
            <w:r>
              <w:rPr>
                <w:rFonts w:ascii="Calibri" w:hAnsi="Calibri"/>
                <w:sz w:val="19"/>
              </w:rPr>
              <w:t>Proof 3: Document Pre-Image Integrity</w:t>
            </w:r>
          </w:p>
        </w:tc>
        <w:tc>
          <w:tcPr>
            <w:tcW w:type="dxa" w:w="3600"/>
            <w:shd w:fill="FFFFFF"/>
            <w:tcMar>
              <w:top w:w="100" w:type="dxa"/>
              <w:bottom w:w="100" w:type="dxa"/>
              <w:left w:w="150" w:type="dxa"/>
              <w:right w:w="150" w:type="dxa"/>
            </w:tcMar>
          </w:tcPr>
          <w:p>
            <w:r>
              <w:rPr>
                <w:rFonts w:ascii="Calibri" w:hAnsi="Calibri"/>
                <w:sz w:val="19"/>
              </w:rPr>
              <w:t>SHA256(BinaryBuffer(Degree.pdf)) == VC.credentialSubject.documentHash</w:t>
            </w:r>
          </w:p>
        </w:tc>
        <w:tc>
          <w:tcPr>
            <w:tcW w:type="dxa" w:w="3168"/>
            <w:shd w:fill="FFFFFF"/>
            <w:tcMar>
              <w:top w:w="100" w:type="dxa"/>
              <w:bottom w:w="100" w:type="dxa"/>
              <w:left w:w="150" w:type="dxa"/>
              <w:right w:w="150" w:type="dxa"/>
            </w:tcMar>
          </w:tcPr>
          <w:p>
            <w:r>
              <w:rPr>
                <w:rFonts w:ascii="Calibri" w:hAnsi="Calibri"/>
                <w:sz w:val="19"/>
              </w:rPr>
              <w:t>Guarantees the physical/digital PDF certificate has not been altered by even 1 single bit.</w:t>
            </w:r>
          </w:p>
        </w:tc>
      </w:tr>
      <w:tr>
        <w:tc>
          <w:tcPr>
            <w:tcW w:type="dxa" w:w="2592"/>
            <w:shd w:fill="F2F4F7"/>
            <w:tcMar>
              <w:top w:w="100" w:type="dxa"/>
              <w:bottom w:w="100" w:type="dxa"/>
              <w:left w:w="150" w:type="dxa"/>
              <w:right w:w="150" w:type="dxa"/>
            </w:tcMar>
          </w:tcPr>
          <w:p>
            <w:r>
              <w:rPr>
                <w:rFonts w:ascii="Calibri" w:hAnsi="Calibri"/>
                <w:sz w:val="19"/>
              </w:rPr>
              <w:t>Proof 4: On-Chain Revocation Check</w:t>
            </w:r>
          </w:p>
        </w:tc>
        <w:tc>
          <w:tcPr>
            <w:tcW w:type="dxa" w:w="3600"/>
            <w:shd w:fill="F2F4F7"/>
            <w:tcMar>
              <w:top w:w="100" w:type="dxa"/>
              <w:bottom w:w="100" w:type="dxa"/>
              <w:left w:w="150" w:type="dxa"/>
              <w:right w:w="150" w:type="dxa"/>
            </w:tcMar>
          </w:tcPr>
          <w:p>
            <w:r>
              <w:rPr>
                <w:rFonts w:ascii="Calibri" w:hAnsi="Calibri"/>
                <w:sz w:val="19"/>
              </w:rPr>
              <w:t>VCRegistry.getVC(VC.id).revoked == false</w:t>
            </w:r>
          </w:p>
        </w:tc>
        <w:tc>
          <w:tcPr>
            <w:tcW w:type="dxa" w:w="3168"/>
            <w:shd w:fill="F2F4F7"/>
            <w:tcMar>
              <w:top w:w="100" w:type="dxa"/>
              <w:bottom w:w="100" w:type="dxa"/>
              <w:left w:w="150" w:type="dxa"/>
              <w:right w:w="150" w:type="dxa"/>
            </w:tcMar>
          </w:tcPr>
          <w:p>
            <w:r>
              <w:rPr>
                <w:rFonts w:ascii="Calibri" w:hAnsi="Calibri"/>
                <w:sz w:val="19"/>
              </w:rPr>
              <w:t>Ensures credentials revoked due to academic infractions or administrative updates are invalidated instantly.</w:t>
            </w:r>
          </w:p>
        </w:tc>
      </w:tr>
    </w:tbl>
    <w:p/>
    <w:p>
      <w:pPr>
        <w:pStyle w:val="Heading1"/>
      </w:pPr>
      <w:r>
        <w:rPr>
          <w:color w:val="1F4E79"/>
        </w:rPr>
        <w:t>5. W3C Data Models: VC &amp; VP JWT Specifications</w:t>
      </w:r>
    </w:p>
    <w:p>
      <w:r>
        <w:t>The Verifiable Credential is encoded as a compact JWT with the ES256K algorithm:</w:t>
      </w:r>
    </w:p>
    <w:tbl>
      <w:tblPr>
        <w:tblW w:type="auto" w:w="0"/>
        <w:jc w:val="center"/>
        <w:tblLook w:firstColumn="1" w:firstRow="1" w:lastColumn="0" w:lastRow="0" w:noHBand="0" w:noVBand="1" w:val="04A0"/>
      </w:tblPr>
      <w:tblGrid>
        <w:gridCol w:w="9360"/>
      </w:tblGrid>
      <w:tr>
        <w:tc>
          <w:tcPr>
            <w:tcW w:type="dxa" w:w="9360"/>
            <w:shd w:fill="2B2B2B"/>
            <w:tcMar>
              <w:top w:w="120" w:type="dxa"/>
              <w:bottom w:w="120" w:type="dxa"/>
              <w:left w:w="150" w:type="dxa"/>
              <w:right w:w="150" w:type="dxa"/>
            </w:tcMar>
          </w:tcPr>
          <w:p>
            <w:pPr>
              <w:spacing w:before="40" w:after="40"/>
            </w:pPr>
            <w:r>
              <w:rPr>
                <w:rFonts w:ascii="Consolas" w:hAnsi="Consolas"/>
                <w:color w:val="DCDCDC"/>
                <w:sz w:val="17"/>
              </w:rPr>
              <w:t>{</w:t>
              <w:br/>
              <w:t xml:space="preserve">  "header": { "alg": "ES256K", "typ": "JWT" },</w:t>
              <w:br/>
              <w:t xml:space="preserve">  "payload": {</w:t>
              <w:br/>
              <w:t xml:space="preserve">    "iss": "did:ethr:4321:0xc17561bfdf4ef0eb4dc749595b3367c246ac31efbdec11ea799874faf8a25843",</w:t>
              <w:br/>
              <w:t xml:space="preserve">    "sub": "did:ethr:4321:0x2199F989d38c64C5632f0590a98D65b71948F894",</w:t>
              <w:br/>
              <w:t xml:space="preserve">    "iat": 1773090000,</w:t>
              <w:br/>
              <w:t xml:space="preserve">    "vc": {</w:t>
              <w:br/>
              <w:t xml:space="preserve">      "@context": ["https://www.w3.org/2018/credentials/v1"],</w:t>
              <w:br/>
              <w:t xml:space="preserve">      "type": ["VerifiableCredential", "AcademicDegreeCredential"],</w:t>
              <w:br/>
              <w:t xml:space="preserve">      "credentialSubject": {</w:t>
              <w:br/>
              <w:t xml:space="preserve">        "studentId": "2026-CS-001",</w:t>
              <w:br/>
              <w:t xml:space="preserve">        "studentName": "Aarav Sharma",</w:t>
              <w:br/>
              <w:t xml:space="preserve">        "degreeName": "Bachelor of Science in Computer Science &amp; AI",</w:t>
              <w:br/>
              <w:t xml:space="preserve">        "major": "Computer Science &amp; AI",</w:t>
              <w:br/>
              <w:t xml:space="preserve">        "gpa": "3.95 / 4.0",</w:t>
              <w:br/>
              <w:t xml:space="preserve">        "graduationYear": "2026",</w:t>
              <w:br/>
              <w:t xml:space="preserve">        "institutionName": "MIT Institute of Technology",</w:t>
              <w:br/>
              <w:t xml:space="preserve">        "documentHash": "a6c5f789d33b4998e3b0c44298fc1c149afbf4c8996fb92427ae41e4649b934c"</w:t>
              <w:br/>
              <w:t xml:space="preserve">      }</w:t>
              <w:br/>
              <w:t xml:space="preserve">    }</w:t>
              <w:br/>
              <w:t xml:space="preserve">  }</w:t>
              <w:br/>
              <w:t>}</w:t>
            </w:r>
          </w:p>
        </w:tc>
      </w:tr>
    </w:tbl>
    <w:p/>
    <w:p>
      <w:pPr>
        <w:pStyle w:val="Heading1"/>
      </w:pPr>
      <w:r>
        <w:rPr>
          <w:color w:val="1F4E79"/>
        </w:rPr>
        <w:t>6. Microservices Architecture &amp; Daily Operations</w:t>
      </w:r>
    </w:p>
    <w:p>
      <w:r>
        <w:t>The entire system can be launched in separate live terminal windows using the created launcher script:</w:t>
      </w:r>
    </w:p>
    <w:tbl>
      <w:tblPr>
        <w:tblW w:type="auto" w:w="0"/>
        <w:jc w:val="center"/>
        <w:tblLook w:firstColumn="1" w:firstRow="1" w:lastColumn="0" w:lastRow="0" w:noHBand="0" w:noVBand="1" w:val="04A0"/>
      </w:tblPr>
      <w:tblGrid>
        <w:gridCol w:w="9360"/>
      </w:tblGrid>
      <w:tr>
        <w:tc>
          <w:tcPr>
            <w:tcW w:type="dxa" w:w="9360"/>
            <w:shd w:fill="2B2B2B"/>
            <w:tcMar>
              <w:top w:w="120" w:type="dxa"/>
              <w:bottom w:w="120" w:type="dxa"/>
              <w:left w:w="150" w:type="dxa"/>
              <w:right w:w="150" w:type="dxa"/>
            </w:tcMar>
          </w:tcPr>
          <w:p>
            <w:pPr>
              <w:spacing w:before="40" w:after="40"/>
            </w:pPr>
            <w:r>
              <w:rPr>
                <w:rFonts w:ascii="Consolas" w:hAnsi="Consolas"/>
                <w:color w:val="DCDCDC"/>
                <w:sz w:val="17"/>
              </w:rPr>
              <w:t>:: In workspace root (c:\Users\Admin\Downloads\ssi-3vm):</w:t>
              <w:br/>
              <w:t>start-all.bat      :: Starts all 7 microservices in labeled windows</w:t>
              <w:br/>
              <w:t>stop-all.bat       :: Stops all Node &amp; Vite services cleanly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