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jc w:val="center"/>
      </w:pPr>
      <w:r>
        <w:rPr>
          <w:rFonts w:ascii="Calibri" w:cs="Calibri" w:eastAsia="Calibri" w:hAnsi="Calibri"/>
          <w:b/>
          <w:bCs/>
          <w:color w:val="C00000"/>
          <w:sz w:val="20"/>
          <w:szCs w:val="20"/>
        </w:rPr>
        <w:t xml:space="preserve">CONFIDENTIAL</w:t>
      </w:r>
    </w:p>
    <w:p>
      <w:pPr>
        <w:spacing w:after="60"/>
        <w:jc w:val="center"/>
      </w:pPr>
      <w:r>
        <w:rPr>
          <w:rFonts w:ascii="Cambria" w:cs="Cambria" w:eastAsia="Cambria" w:hAnsi="Cambria"/>
          <w:b/>
          <w:bCs/>
          <w:color w:val="1F3864"/>
          <w:sz w:val="52"/>
          <w:szCs w:val="52"/>
        </w:rPr>
        <w:t xml:space="preserve">HR ANALYTICS &amp;</w:t>
      </w:r>
    </w:p>
    <w:p>
      <w:pPr>
        <w:spacing w:after="300"/>
        <w:jc w:val="center"/>
      </w:pPr>
      <w:r>
        <w:rPr>
          <w:rFonts w:ascii="Cambria" w:cs="Cambria" w:eastAsia="Cambria" w:hAnsi="Cambria"/>
          <w:b/>
          <w:bCs/>
          <w:color w:val="12233F"/>
          <w:sz w:val="40"/>
          <w:szCs w:val="40"/>
        </w:rPr>
        <w:t xml:space="preserve">EMPLOYEE ATTRITION STRATEGY REPORT</w:t>
      </w:r>
    </w:p>
    <w:p>
      <w:pPr>
        <w:pBdr>
          <w:top w:val="single" w:color="BF8F00" w:sz="8" w:space="8"/>
        </w:pBdr>
        <w:spacing w:after="40"/>
        <w:jc w:val="center"/>
      </w:pPr>
      <w:r>
        <w:rPr>
          <w:rFonts w:ascii="Calibri" w:cs="Calibri" w:eastAsia="Calibri" w:hAnsi="Calibri"/>
          <w:i/>
          <w:iCs/>
          <w:color w:val="404040"/>
          <w:sz w:val="24"/>
          <w:szCs w:val="24"/>
        </w:rPr>
        <w:t xml:space="preserve">Workforce Stability, Talent Risk &amp; Retention Diagnostics</w:t>
      </w:r>
    </w:p>
    <w:p>
      <w:pPr>
        <w:spacing w:after="900"/>
      </w:pPr>
    </w:p>
    <w:tbl>
      <w:tblPr>
        <w:tblW w:type="pct" w:w="70%"/>
        <w:jc w:val="center"/>
        <w:tblBorders>
          <w:top w:val="none"/>
          <w:left w:val="none"/>
          <w:bottom w:val="none"/>
          <w:right w:val="none"/>
          <w:insideH w:val="single" w:color="D9D9D9" w:sz="2"/>
          <w:insideV w:val="none"/>
        </w:tblBorders>
      </w:tblPr>
      <w:tblGrid>
        <w:gridCol w:w="100"/>
        <w:gridCol w:w="100"/>
      </w:tblGrid>
      <w:tr>
        <w:tc>
          <w:tcPr>
            <w:tcW w:type="pct" w:w="32%"/>
            <w:tcMar>
              <w:top w:type="dxa" w:w="100"/>
              <w:left w:type="dxa" w:w="60"/>
              <w:bottom w:type="dxa" w:w="100"/>
              <w:right w:type="dxa" w:w="60"/>
            </w:tcMar>
          </w:tcPr>
          <w:p>
            <w:r>
              <w:rPr>
                <w:rFonts w:ascii="Calibri" w:cs="Calibri" w:eastAsia="Calibri" w:hAnsi="Calibri"/>
                <w:b/>
                <w:bCs/>
                <w:color w:val="12233F"/>
                <w:sz w:val="20"/>
                <w:szCs w:val="20"/>
              </w:rPr>
              <w:t xml:space="preserve">Prepared By</w:t>
            </w:r>
          </w:p>
        </w:tc>
        <w:tc>
          <w:tcPr>
            <w:tcW w:type="pct" w:w="68%"/>
            <w:tcMar>
              <w:top w:type="dxa" w:w="100"/>
              <w:left w:type="dxa" w:w="60"/>
              <w:bottom w:type="dxa" w:w="100"/>
              <w:right w:type="dxa" w:w="60"/>
            </w:tcMar>
          </w:tcPr>
          <w:p>
            <w:r>
              <w:rPr>
                <w:rFonts w:ascii="Calibri" w:cs="Calibri" w:eastAsia="Calibri" w:hAnsi="Calibri"/>
                <w:color w:val="404040"/>
                <w:sz w:val="20"/>
                <w:szCs w:val="20"/>
              </w:rPr>
              <w:t xml:space="preserve">Business Analyst — People Analytics</w:t>
            </w:r>
          </w:p>
        </w:tc>
      </w:tr>
      <w:tr>
        <w:tc>
          <w:tcPr>
            <w:tcW w:type="pct" w:w="32%"/>
            <w:tcMar>
              <w:top w:type="dxa" w:w="100"/>
              <w:left w:type="dxa" w:w="60"/>
              <w:bottom w:type="dxa" w:w="100"/>
              <w:right w:type="dxa" w:w="60"/>
            </w:tcMar>
          </w:tcPr>
          <w:p>
            <w:r>
              <w:rPr>
                <w:rFonts w:ascii="Calibri" w:cs="Calibri" w:eastAsia="Calibri" w:hAnsi="Calibri"/>
                <w:b/>
                <w:bCs/>
                <w:color w:val="12233F"/>
                <w:sz w:val="20"/>
                <w:szCs w:val="20"/>
              </w:rPr>
              <w:t xml:space="preserve">Report Date</w:t>
            </w:r>
          </w:p>
        </w:tc>
        <w:tc>
          <w:tcPr>
            <w:tcW w:type="pct" w:w="68%"/>
            <w:tcMar>
              <w:top w:type="dxa" w:w="100"/>
              <w:left w:type="dxa" w:w="60"/>
              <w:bottom w:type="dxa" w:w="100"/>
              <w:right w:type="dxa" w:w="60"/>
            </w:tcMar>
          </w:tcPr>
          <w:p>
            <w:r>
              <w:rPr>
                <w:rFonts w:ascii="Calibri" w:cs="Calibri" w:eastAsia="Calibri" w:hAnsi="Calibri"/>
                <w:color w:val="404040"/>
                <w:sz w:val="20"/>
                <w:szCs w:val="20"/>
              </w:rPr>
              <w:t xml:space="preserve">20 July 2026</w:t>
            </w:r>
          </w:p>
        </w:tc>
      </w:tr>
      <w:tr>
        <w:tc>
          <w:tcPr>
            <w:tcW w:type="pct" w:w="32%"/>
            <w:tcMar>
              <w:top w:type="dxa" w:w="100"/>
              <w:left w:type="dxa" w:w="60"/>
              <w:bottom w:type="dxa" w:w="100"/>
              <w:right w:type="dxa" w:w="60"/>
            </w:tcMar>
          </w:tcPr>
          <w:p>
            <w:r>
              <w:rPr>
                <w:rFonts w:ascii="Calibri" w:cs="Calibri" w:eastAsia="Calibri" w:hAnsi="Calibri"/>
                <w:b/>
                <w:bCs/>
                <w:color w:val="12233F"/>
                <w:sz w:val="20"/>
                <w:szCs w:val="20"/>
              </w:rPr>
              <w:t xml:space="preserve">Data Source</w:t>
            </w:r>
          </w:p>
        </w:tc>
        <w:tc>
          <w:tcPr>
            <w:tcW w:type="pct" w:w="68%"/>
            <w:tcMar>
              <w:top w:type="dxa" w:w="100"/>
              <w:left w:type="dxa" w:w="60"/>
              <w:bottom w:type="dxa" w:w="100"/>
              <w:right w:type="dxa" w:w="60"/>
            </w:tcMar>
          </w:tcPr>
          <w:p>
            <w:r>
              <w:rPr>
                <w:rFonts w:ascii="Calibri" w:cs="Calibri" w:eastAsia="Calibri" w:hAnsi="Calibri"/>
                <w:color w:val="404040"/>
                <w:sz w:val="20"/>
                <w:szCs w:val="20"/>
              </w:rPr>
              <w:t xml:space="preserve">HR Analytics Employee Dataset (1,470 Employee Records)</w:t>
            </w:r>
          </w:p>
        </w:tc>
      </w:tr>
      <w:tr>
        <w:tc>
          <w:tcPr>
            <w:tcW w:type="pct" w:w="32%"/>
            <w:tcMar>
              <w:top w:type="dxa" w:w="100"/>
              <w:left w:type="dxa" w:w="60"/>
              <w:bottom w:type="dxa" w:w="100"/>
              <w:right w:type="dxa" w:w="60"/>
            </w:tcMar>
          </w:tcPr>
          <w:p>
            <w:r>
              <w:rPr>
                <w:rFonts w:ascii="Calibri" w:cs="Calibri" w:eastAsia="Calibri" w:hAnsi="Calibri"/>
                <w:b/>
                <w:bCs/>
                <w:color w:val="12233F"/>
                <w:sz w:val="20"/>
                <w:szCs w:val="20"/>
              </w:rPr>
              <w:t xml:space="preserve">Tool Used</w:t>
            </w:r>
          </w:p>
        </w:tc>
        <w:tc>
          <w:tcPr>
            <w:tcW w:type="pct" w:w="68%"/>
            <w:tcMar>
              <w:top w:type="dxa" w:w="100"/>
              <w:left w:type="dxa" w:w="60"/>
              <w:bottom w:type="dxa" w:w="100"/>
              <w:right w:type="dxa" w:w="60"/>
            </w:tcMar>
          </w:tcPr>
          <w:p>
            <w:r>
              <w:rPr>
                <w:rFonts w:ascii="Calibri" w:cs="Calibri" w:eastAsia="Calibri" w:hAnsi="Calibri"/>
                <w:color w:val="404040"/>
                <w:sz w:val="20"/>
                <w:szCs w:val="20"/>
              </w:rPr>
              <w:t xml:space="preserve">Microsoft Power BI — HR Analytics Dashboard</w:t>
            </w:r>
          </w:p>
        </w:tc>
      </w:tr>
      <w:tr>
        <w:tc>
          <w:tcPr>
            <w:tcW w:type="pct" w:w="32%"/>
            <w:tcMar>
              <w:top w:type="dxa" w:w="100"/>
              <w:left w:type="dxa" w:w="60"/>
              <w:bottom w:type="dxa" w:w="100"/>
              <w:right w:type="dxa" w:w="60"/>
            </w:tcMar>
          </w:tcPr>
          <w:p>
            <w:r>
              <w:rPr>
                <w:rFonts w:ascii="Calibri" w:cs="Calibri" w:eastAsia="Calibri" w:hAnsi="Calibri"/>
                <w:b/>
                <w:bCs/>
                <w:color w:val="12233F"/>
                <w:sz w:val="20"/>
                <w:szCs w:val="20"/>
              </w:rPr>
              <w:t xml:space="preserve">Classification</w:t>
            </w:r>
          </w:p>
        </w:tc>
        <w:tc>
          <w:tcPr>
            <w:tcW w:type="pct" w:w="68%"/>
            <w:tcMar>
              <w:top w:type="dxa" w:w="100"/>
              <w:left w:type="dxa" w:w="60"/>
              <w:bottom w:type="dxa" w:w="100"/>
              <w:right w:type="dxa" w:w="60"/>
            </w:tcMar>
          </w:tcPr>
          <w:p>
            <w:r>
              <w:rPr>
                <w:rFonts w:ascii="Calibri" w:cs="Calibri" w:eastAsia="Calibri" w:hAnsi="Calibri"/>
                <w:color w:val="404040"/>
                <w:sz w:val="20"/>
                <w:szCs w:val="20"/>
              </w:rPr>
              <w:t xml:space="preserve">Internal – Management Review</w:t>
            </w:r>
          </w:p>
        </w:tc>
      </w:tr>
    </w:tbl>
    <w:p>
      <w:pPr>
        <w:sectPr>
          <w:headerReference w:type="default" r:id="rId7"/>
          <w:footerReference w:type="default" r:id="rId8"/>
          <w:pgSz w:w="11906" w:h="16838" w:orient="portrait"/>
          <w:pgMar w:top="1080" w:right="1080" w:bottom="1080" w:left="1080" w:header="708" w:footer="708" w:gutter="0"/>
          <w:pgNumType/>
          <w:titlePg/>
          <w:docGrid w:linePitch="360"/>
        </w:sectPr>
      </w:pPr>
    </w:p>
    <w:p>
      <w:pPr>
        <w:pStyle w:val="Heading1"/>
        <w:pBdr>
          <w:bottom w:val="single" w:color="1F3864" w:sz="12" w:space="6"/>
        </w:pBdr>
        <w:spacing w:after="300"/>
      </w:pPr>
      <w:r>
        <w:rPr>
          <w:rFonts w:ascii="Cambria" w:cs="Cambria" w:eastAsia="Cambria" w:hAnsi="Cambria"/>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404040"/>
          <w:sz w:val="18"/>
          <w:szCs w:val="18"/>
        </w:rPr>
        <w:t xml:space="preserve">Right-click the table above and select “Update Field” to populate page numbers.</w:t>
      </w:r>
    </w:p>
    <w:p>
      <w:pPr>
        <w:sectPr>
          <w:headerReference w:type="default" r:id="rId9"/>
          <w:footerReference w:type="default" r:id="rId10"/>
          <w:pgSz w:w="11906" w:h="16838" w:orient="portrait"/>
          <w:pgMar w:top="1080" w:right="1080" w:bottom="1080" w:left="1080" w:header="708" w:footer="708" w:gutter="0"/>
          <w:pgNumType/>
          <w:docGrid w:linePitch="360"/>
        </w:sectPr>
      </w:pPr>
    </w:p>
    <w:p>
      <w:pPr>
        <w:pStyle w:val="Heading1"/>
        <w:pBdr>
          <w:bottom w:val="single" w:color="1F3864" w:sz="12" w:space="6"/>
        </w:pBdr>
        <w:spacing w:after="240" w:before="480"/>
      </w:pPr>
      <w:r>
        <w:rPr>
          <w:rFonts w:ascii="Cambria" w:cs="Cambria" w:eastAsia="Cambria" w:hAnsi="Cambria"/>
          <w:b/>
          <w:bCs/>
          <w:color w:val="1F3864"/>
          <w:sz w:val="32"/>
          <w:szCs w:val="32"/>
        </w:rPr>
        <w:t xml:space="preserve">1.  Executive Summary</w:t>
      </w:r>
    </w:p>
    <w:p>
      <w:pPr>
        <w:spacing w:after="160" w:line="276"/>
        <w:jc w:val="both"/>
      </w:pPr>
      <w:r>
        <w:rPr>
          <w:rFonts w:ascii="Calibri" w:cs="Calibri" w:eastAsia="Calibri" w:hAnsi="Calibri"/>
          <w:b w:val="false"/>
          <w:bCs w:val="false"/>
          <w:i w:val="false"/>
          <w:iCs w:val="false"/>
          <w:color w:val="404040"/>
          <w:sz w:val="22"/>
          <w:szCs w:val="22"/>
        </w:rPr>
        <w:t xml:space="preserve">Talent has become the single most decisive driver of institutional value in a competitive operating environment. This report presents a comprehensive analysis of workforce attrition based on a dataset of 1,470 employee records, translated into a live Power BI dashboard covering the Human Resources, Research &amp; Development, and Sales functions.</w:t>
      </w:r>
    </w:p>
    <w:p>
      <w:pPr>
        <w:spacing w:after="160" w:line="276"/>
        <w:jc w:val="both"/>
      </w:pPr>
      <w:r>
        <w:rPr>
          <w:rFonts w:ascii="Calibri" w:cs="Calibri" w:eastAsia="Calibri" w:hAnsi="Calibri"/>
          <w:b w:val="false"/>
          <w:bCs w:val="false"/>
          <w:i w:val="false"/>
          <w:iCs w:val="false"/>
          <w:color w:val="404040"/>
          <w:sz w:val="22"/>
          <w:szCs w:val="22"/>
        </w:rPr>
        <w:t xml:space="preserve">The organisation is currently recording an overall attrition rate of 16.1%, with 237 employees having exited during the period under review. While this figure sits close to industry benchmarks for comparable sectors, the underlying composition of these exits tells a more urgent story: attrition is heavily concentrated among entry-level, technically skilled, and early-tenure employees — precisely the segment that is most expensive and time-consuming to replace. This pattern is best described as a “leaky bucket”: new talent is being brought in, but it is exiting faster than it can be developed into experienced, high-value contributors.</w:t>
      </w:r>
    </w:p>
    <w:p>
      <w:pPr>
        <w:spacing w:after="160" w:line="276"/>
        <w:jc w:val="both"/>
      </w:pPr>
      <w:r>
        <w:rPr>
          <w:rFonts w:ascii="Calibri" w:cs="Calibri" w:eastAsia="Calibri" w:hAnsi="Calibri"/>
          <w:b w:val="false"/>
          <w:bCs w:val="false"/>
          <w:i w:val="false"/>
          <w:iCs w:val="false"/>
          <w:color w:val="404040"/>
          <w:sz w:val="22"/>
          <w:szCs w:val="22"/>
        </w:rPr>
        <w:t xml:space="preserve">This report sets out the key findings from the dashboard and the underlying dataset, and closes with a prioritised set of recommendations for management action. The intent is not merely diagnostic — each finding is paired with a corresponding intervention that can realistically be implemented within existing HR and budgetary structures.</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rFonts w:ascii="Calibri" w:cs="Calibri" w:eastAsia="Calibri" w:hAnsi="Calibri"/>
                <w:b/>
                <w:bCs/>
                <w:color w:val="C00000"/>
                <w:sz w:val="22"/>
                <w:szCs w:val="22"/>
              </w:rPr>
              <w:t xml:space="preserve">Headline Finding</w:t>
            </w:r>
          </w:p>
          <w:p>
            <w:pPr>
              <w:spacing w:after="0" w:line="264"/>
            </w:pPr>
            <w:r>
              <w:rPr>
                <w:rFonts w:ascii="Calibri" w:cs="Calibri" w:eastAsia="Calibri" w:hAnsi="Calibri"/>
                <w:color w:val="404040"/>
                <w:sz w:val="21"/>
                <w:szCs w:val="21"/>
              </w:rPr>
              <w:t xml:space="preserve">Nearly 7 in 10 departing employees sit in the lowest salary bracket, and attrition peaks sharply within the first year of tenure. However, a multivariate statistical test (Section 6) shows that once workload and engagement factors are controlled for, overtime and business travel frequency — not compensation — are the strongest independent predictors of attrition. The estimated annualised cost of this attrition is approximately $10.9 million, or roughly 9.4% of total payroll (Section 7). Workload rationalisation and role-specific retention now rank as the highest-leverage interventions.</w:t>
            </w:r>
          </w:p>
        </w:tc>
      </w:tr>
    </w:tbl>
    <w:p>
      <w:pPr>
        <w:spacing w:after="160" w:line="276"/>
        <w:jc w:val="both"/>
      </w:pPr>
      <w:r>
        <w:rPr>
          <w:rFonts w:ascii="Calibri" w:cs="Calibri" w:eastAsia="Calibri" w:hAnsi="Calibri"/>
          <w:b w:val="false"/>
          <w:bCs w:val="false"/>
          <w:i w:val="false"/>
          <w:iCs w:val="false"/>
          <w:color w:val="404040"/>
          <w:sz w:val="22"/>
          <w:szCs w:val="22"/>
        </w:rPr>
        <w:t xml:space="preserve">This report goes beyond descriptive dashboarding: Section 6 statistically isolates which factors independently drive attrition once confounding variables are controlled for, and Section 7 translates the finding into an estimated financial impact, so that the recommendations in Section 8 can be prioritised by validated evidence rather than by the strongest visual pattern on the dashboard.</w:t>
      </w:r>
    </w:p>
    <w:p>
      <w:pPr>
        <w:pStyle w:val="Heading1"/>
        <w:pBdr>
          <w:bottom w:val="single" w:color="1F3864" w:sz="12" w:space="6"/>
        </w:pBdr>
        <w:spacing w:after="240" w:before="480"/>
      </w:pPr>
      <w:r>
        <w:rPr>
          <w:rFonts w:ascii="Cambria" w:cs="Cambria" w:eastAsia="Cambria" w:hAnsi="Cambria"/>
          <w:b/>
          <w:bCs/>
          <w:color w:val="1F3864"/>
          <w:sz w:val="32"/>
          <w:szCs w:val="32"/>
        </w:rPr>
        <w:t xml:space="preserve">2.  Introduction &amp; Report Objectives</w:t>
      </w:r>
    </w:p>
    <w:p>
      <w:pPr>
        <w:pStyle w:val="Heading2"/>
        <w:spacing w:after="160" w:before="320"/>
      </w:pPr>
      <w:r>
        <w:rPr>
          <w:rFonts w:ascii="Cambria" w:cs="Cambria" w:eastAsia="Cambria" w:hAnsi="Cambria"/>
          <w:b/>
          <w:bCs/>
          <w:color w:val="12233F"/>
          <w:sz w:val="25"/>
          <w:szCs w:val="25"/>
        </w:rPr>
        <w:t xml:space="preserve">2.1  Background</w:t>
      </w:r>
    </w:p>
    <w:p>
      <w:pPr>
        <w:spacing w:after="160" w:line="276"/>
        <w:jc w:val="both"/>
      </w:pPr>
      <w:r>
        <w:rPr>
          <w:rFonts w:ascii="Calibri" w:cs="Calibri" w:eastAsia="Calibri" w:hAnsi="Calibri"/>
          <w:b w:val="false"/>
          <w:bCs w:val="false"/>
          <w:i w:val="false"/>
          <w:iCs w:val="false"/>
          <w:color w:val="404040"/>
          <w:sz w:val="22"/>
          <w:szCs w:val="22"/>
        </w:rPr>
        <w:t xml:space="preserve">Employee attrition — the rate at which staff voluntarily or involuntarily leave an organisation — carries direct and indirect costs that extend well beyond recruitment fees. These include lost productivity during vacancy periods, onboarding and training investment written off, disruption to team continuity, and the erosion of institutional knowledge. For organisations operating in technically demanding sectors, the cost of losing a trained specialist is materially higher than the cost of losing a generalist.</w:t>
      </w:r>
    </w:p>
    <w:p>
      <w:pPr>
        <w:pStyle w:val="Heading2"/>
        <w:spacing w:after="160" w:before="320"/>
      </w:pPr>
      <w:r>
        <w:rPr>
          <w:rFonts w:ascii="Cambria" w:cs="Cambria" w:eastAsia="Cambria" w:hAnsi="Cambria"/>
          <w:b/>
          <w:bCs/>
          <w:color w:val="12233F"/>
          <w:sz w:val="25"/>
          <w:szCs w:val="25"/>
        </w:rPr>
        <w:t xml:space="preserve">2.2  Objective</w:t>
      </w:r>
    </w:p>
    <w:p>
      <w:pPr>
        <w:spacing w:after="160" w:line="276"/>
        <w:jc w:val="both"/>
      </w:pPr>
      <w:r>
        <w:rPr>
          <w:rFonts w:ascii="Calibri" w:cs="Calibri" w:eastAsia="Calibri" w:hAnsi="Calibri"/>
          <w:b w:val="false"/>
          <w:bCs w:val="false"/>
          <w:i w:val="false"/>
          <w:iCs w:val="false"/>
          <w:color w:val="404040"/>
          <w:sz w:val="22"/>
          <w:szCs w:val="22"/>
        </w:rPr>
        <w:t xml:space="preserve">This project was undertaken to build a self-service analytics dashboard that allows management to monitor attrition in real time across departments, and to convert the resulting data into a concrete set of retention recommendations. The specific objectives were to:</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Quantify the scale and rate of employee attrition across the organisation.</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Identify the departments, job roles, salary bands, and demographic segments most exposed to attrition risk.</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Surface the underlying drivers of attrition using satisfaction, tenure, and workload indicators available in the dataset.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Translate these findings into prioritised, actionable recommendations for HR and departmental leadership.</w:t>
      </w:r>
    </w:p>
    <w:p>
      <w:pPr>
        <w:pStyle w:val="Heading2"/>
        <w:spacing w:after="160" w:before="320"/>
      </w:pPr>
      <w:r>
        <w:rPr>
          <w:rFonts w:ascii="Cambria" w:cs="Cambria" w:eastAsia="Cambria" w:hAnsi="Cambria"/>
          <w:b/>
          <w:bCs/>
          <w:color w:val="12233F"/>
          <w:sz w:val="25"/>
          <w:szCs w:val="25"/>
        </w:rPr>
        <w:t xml:space="preserve">2.3  Scope &amp; Data Source</w:t>
      </w:r>
    </w:p>
    <w:p>
      <w:pPr>
        <w:spacing w:after="160" w:line="276"/>
        <w:jc w:val="both"/>
      </w:pPr>
      <w:r>
        <w:rPr>
          <w:rFonts w:ascii="Calibri" w:cs="Calibri" w:eastAsia="Calibri" w:hAnsi="Calibri"/>
          <w:b w:val="false"/>
          <w:bCs w:val="false"/>
          <w:i w:val="false"/>
          <w:iCs w:val="false"/>
          <w:color w:val="404040"/>
          <w:sz w:val="22"/>
          <w:szCs w:val="22"/>
        </w:rPr>
        <w:t xml:space="preserve">The analysis draws on a structured HR dataset of 1,470 employee records spanning 38 attributes, including demographic details (age, gender, marital status), employment details (department, job role, salary slab, tenure, overtime status), and satisfaction indicators (job satisfaction, environment satisfaction, work-life balance). The dataset was cleaned, modelled, and visualised in Microsoft Power BI to produce the dashboard referenced throughout this report.</w:t>
      </w:r>
    </w:p>
    <w:p>
      <w:pPr>
        <w:pStyle w:val="Heading2"/>
        <w:spacing w:after="160" w:before="320"/>
      </w:pPr>
      <w:r>
        <w:rPr>
          <w:rFonts w:ascii="Cambria" w:cs="Cambria" w:eastAsia="Cambria" w:hAnsi="Cambria"/>
          <w:b/>
          <w:bCs/>
          <w:color w:val="12233F"/>
          <w:sz w:val="25"/>
          <w:szCs w:val="25"/>
        </w:rPr>
        <w:t xml:space="preserve">2.4  Methodology</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Data cleaning and validation of the raw HR extract to remove duplicate and inconsistent records.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Construction of calculated measures for attrition count, attrition rate, and average tenure/salary/age using DAX in Power BI.</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Segmentation of attrition by department, job role, education field, salary slab, age band, and gender.</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Cross-validation of dashboard figures against the underlying dataset to confirm accuracy.</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Synthesis of findings into a prioritised management action plan.</w:t>
      </w:r>
    </w:p>
    <w:p>
      <w:pPr>
        <w:pStyle w:val="Heading1"/>
        <w:pBdr>
          <w:bottom w:val="single" w:color="1F3864" w:sz="12" w:space="6"/>
        </w:pBdr>
        <w:spacing w:after="240" w:before="480"/>
      </w:pPr>
      <w:r>
        <w:rPr>
          <w:rFonts w:ascii="Cambria" w:cs="Cambria" w:eastAsia="Cambria" w:hAnsi="Cambria"/>
          <w:b/>
          <w:bCs/>
          <w:color w:val="1F3864"/>
          <w:sz w:val="32"/>
          <w:szCs w:val="32"/>
        </w:rPr>
        <w:t xml:space="preserve">3.  Dashboard Overview</w:t>
      </w:r>
    </w:p>
    <w:p>
      <w:pPr>
        <w:spacing w:after="160" w:line="276"/>
        <w:jc w:val="both"/>
      </w:pPr>
      <w:r>
        <w:rPr>
          <w:rFonts w:ascii="Calibri" w:cs="Calibri" w:eastAsia="Calibri" w:hAnsi="Calibri"/>
          <w:b w:val="false"/>
          <w:bCs w:val="false"/>
          <w:i w:val="false"/>
          <w:iCs w:val="false"/>
          <w:color w:val="404040"/>
          <w:sz w:val="22"/>
          <w:szCs w:val="22"/>
        </w:rPr>
        <w:t xml:space="preserve">The dashboard below (Figure 1) forms the analytical backbone of this report. It provides a single-page, filterable view of workforce composition and attrition drivers, with department-level tabs for Human Resources, Research &amp; Development, and Sales.</w:t>
      </w:r>
    </w:p>
    <w:p>
      <w:pPr>
        <w:spacing w:after="80" w:before="16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240"/>
        <w:jc w:val="center"/>
      </w:pPr>
      <w:r>
        <w:rPr>
          <w:rFonts w:ascii="Calibri" w:cs="Calibri" w:eastAsia="Calibri" w:hAnsi="Calibri"/>
          <w:i/>
          <w:iCs/>
          <w:color w:val="404040"/>
          <w:sz w:val="18"/>
          <w:szCs w:val="18"/>
        </w:rPr>
        <w:t xml:space="preserve">Figure 1: HR Analytics Dashboard — Power BI (Human Resources view)</w:t>
      </w:r>
    </w:p>
    <w:p>
      <w:pPr>
        <w:pStyle w:val="Heading1"/>
        <w:pBdr>
          <w:bottom w:val="single" w:color="1F3864" w:sz="12" w:space="6"/>
        </w:pBdr>
        <w:spacing w:after="240" w:before="480"/>
      </w:pPr>
      <w:r>
        <w:rPr>
          <w:rFonts w:ascii="Cambria" w:cs="Cambria" w:eastAsia="Cambria" w:hAnsi="Cambria"/>
          <w:b/>
          <w:bCs/>
          <w:color w:val="1F3864"/>
          <w:sz w:val="32"/>
          <w:szCs w:val="32"/>
        </w:rPr>
        <w:t xml:space="preserve">4.  Key Performance Indicators</w:t>
      </w:r>
    </w:p>
    <w:p>
      <w:pPr>
        <w:spacing w:after="160" w:line="276"/>
        <w:jc w:val="both"/>
      </w:pPr>
      <w:r>
        <w:rPr>
          <w:rFonts w:ascii="Calibri" w:cs="Calibri" w:eastAsia="Calibri" w:hAnsi="Calibri"/>
          <w:b w:val="false"/>
          <w:bCs w:val="false"/>
          <w:i w:val="false"/>
          <w:iCs w:val="false"/>
          <w:color w:val="404040"/>
          <w:sz w:val="22"/>
          <w:szCs w:val="22"/>
        </w:rPr>
        <w:t xml:space="preserve">The dashboard establishes the following baseline metrics, which anchor all subsequent analysis in this report: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1800"/>
        <w:gridCol w:w="5100"/>
      </w:tblGrid>
      <w:tr>
        <w:trPr>
          <w:tblHeader/>
        </w:trPr>
        <w:tc>
          <w:tcPr>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Metric</w:t>
            </w:r>
          </w:p>
        </w:tc>
        <w:tc>
          <w:tcPr>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Value</w:t>
            </w:r>
          </w:p>
        </w:tc>
        <w:tc>
          <w:tcPr>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Interpretation</w:t>
            </w:r>
          </w:p>
        </w:tc>
      </w:tr>
      <w:tr>
        <w:tc>
          <w:tcPr>
            <w:shd w:fill="FFFFFF"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Total Employee Count</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1,470</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Total workforce represented in the dataset.</w:t>
            </w:r>
          </w:p>
        </w:tc>
      </w:tr>
      <w:tr>
        <w:tc>
          <w:tcPr>
            <w:shd w:fill="F2F2F2"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Attrition Count</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237</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Employees who exited the organisation during the review period.</w:t>
            </w:r>
          </w:p>
        </w:tc>
      </w:tr>
      <w:tr>
        <w:tc>
          <w:tcPr>
            <w:shd w:fill="FFFFFF"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Attrition Rate</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16.1%</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Broadly in line with sector benchmarks, but concentrated in specific segments (see Section 5).</w:t>
            </w:r>
          </w:p>
        </w:tc>
      </w:tr>
      <w:tr>
        <w:tc>
          <w:tcPr>
            <w:shd w:fill="F2F2F2"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Average Age</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36.92 years</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Indicates a moderately experienced overall workforce.</w:t>
            </w:r>
          </w:p>
        </w:tc>
      </w:tr>
      <w:tr>
        <w:tc>
          <w:tcPr>
            <w:shd w:fill="FFFFFF"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Average Monthly Salary</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6.50K</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Organisation-wide average; masks wide variation by salary slab.</w:t>
            </w:r>
          </w:p>
        </w:tc>
      </w:tr>
      <w:tr>
        <w:tc>
          <w:tcPr>
            <w:shd w:fill="F2F2F2"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Average Tenure</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7.00 years</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Healthy at an aggregate level, but skewed by long-serving employees — attrition is concentrated well below this average (see Section 5.3).</w:t>
            </w:r>
          </w:p>
        </w:tc>
      </w:tr>
    </w:tbl>
    <w:p>
      <w:pPr>
        <w:pStyle w:val="Heading1"/>
        <w:pBdr>
          <w:bottom w:val="single" w:color="1F3864" w:sz="12" w:space="6"/>
        </w:pBdr>
        <w:spacing w:after="240" w:before="480"/>
      </w:pPr>
      <w:r>
        <w:rPr>
          <w:rFonts w:ascii="Cambria" w:cs="Cambria" w:eastAsia="Cambria" w:hAnsi="Cambria"/>
          <w:b/>
          <w:bCs/>
          <w:color w:val="1F3864"/>
          <w:sz w:val="32"/>
          <w:szCs w:val="32"/>
        </w:rPr>
        <w:t xml:space="preserve">5.  Strategic Deep-Dive: Where Is the Talent Going?</w:t>
      </w:r>
    </w:p>
    <w:p>
      <w:pPr>
        <w:pStyle w:val="Heading2"/>
        <w:spacing w:after="160" w:before="320"/>
      </w:pPr>
      <w:r>
        <w:rPr>
          <w:rFonts w:ascii="Cambria" w:cs="Cambria" w:eastAsia="Cambria" w:hAnsi="Cambria"/>
          <w:b/>
          <w:bCs/>
          <w:color w:val="12233F"/>
          <w:sz w:val="25"/>
          <w:szCs w:val="25"/>
        </w:rPr>
        <w:t xml:space="preserve">5.1  Entry-Level Compensation Is the Dominant Risk Factor</w:t>
      </w:r>
    </w:p>
    <w:p>
      <w:pPr>
        <w:spacing w:after="160" w:line="276"/>
        <w:jc w:val="both"/>
      </w:pPr>
      <w:r>
        <w:rPr>
          <w:rFonts w:ascii="Calibri" w:cs="Calibri" w:eastAsia="Calibri" w:hAnsi="Calibri"/>
          <w:b w:val="false"/>
          <w:bCs w:val="false"/>
          <w:i w:val="false"/>
          <w:iCs w:val="false"/>
          <w:color w:val="404040"/>
          <w:sz w:val="22"/>
          <w:szCs w:val="22"/>
        </w:rPr>
        <w:t xml:space="preserve">The single most significant insight from the analysis is the concentration of attrition within the lowest salary band. Of the 237 recorded exits, 163 (approximately 69%) belong to employees in the “Upto 5k” monthly salary slab. This is a strong signal that entry-level compensation is not perceived as competitive, and that this segment is highly susceptible to being drawn away by even modest external offers.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3500"/>
        <w:gridCol w:w="2500"/>
        <w:gridCol w:w="3400"/>
      </w:tblGrid>
      <w:tr>
        <w:trPr>
          <w:tblHeader/>
        </w:trPr>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Salary Slab</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Attrition Count</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Share of Total Exits</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Upto 5k</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163</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68.8%</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5k – 10k</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49</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20.7%</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10k – 15k</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20</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8.4%</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15k+</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5</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2.1%</w:t>
            </w:r>
          </w:p>
        </w:tc>
      </w:tr>
    </w:tbl>
    <w:p>
      <w:pPr>
        <w:spacing w:after="160"/>
      </w:pPr>
    </w:p>
    <w:p>
      <w:pPr>
        <w:pStyle w:val="Heading2"/>
        <w:spacing w:after="160" w:before="320"/>
      </w:pPr>
      <w:r>
        <w:rPr>
          <w:rFonts w:ascii="Cambria" w:cs="Cambria" w:eastAsia="Cambria" w:hAnsi="Cambria"/>
          <w:b/>
          <w:bCs/>
          <w:color w:val="12233F"/>
          <w:sz w:val="25"/>
          <w:szCs w:val="25"/>
        </w:rPr>
        <w:t xml:space="preserve">5.2  Attrition Is Concentrated in Specific Roles and Education Backgrounds</w:t>
      </w:r>
    </w:p>
    <w:p>
      <w:pPr>
        <w:spacing w:after="160" w:line="276"/>
        <w:jc w:val="both"/>
      </w:pPr>
      <w:r>
        <w:rPr>
          <w:rFonts w:ascii="Calibri" w:cs="Calibri" w:eastAsia="Calibri" w:hAnsi="Calibri"/>
          <w:b w:val="false"/>
          <w:bCs w:val="false"/>
          <w:i w:val="false"/>
          <w:iCs w:val="false"/>
          <w:color w:val="404040"/>
          <w:sz w:val="22"/>
          <w:szCs w:val="22"/>
        </w:rPr>
        <w:t xml:space="preserve">Attrition is not evenly distributed across job functions. Laboratory Technicians (62 exits) and Sales Executives (57 exits) together account for a disproportionate share of departures, followed by Research Scientists (47), Sales Representatives (33), and Human Resources staff (12). These are typically high-demand, high-burnout roles in the external job market, which increases their flight risk.</w:t>
      </w:r>
    </w:p>
    <w:p>
      <w:pPr>
        <w:spacing w:after="160" w:line="276"/>
        <w:jc w:val="both"/>
      </w:pPr>
      <w:r>
        <w:rPr>
          <w:rFonts w:ascii="Calibri" w:cs="Calibri" w:eastAsia="Calibri" w:hAnsi="Calibri"/>
          <w:b w:val="false"/>
          <w:bCs w:val="false"/>
          <w:i w:val="false"/>
          <w:iCs w:val="false"/>
          <w:color w:val="404040"/>
          <w:sz w:val="22"/>
          <w:szCs w:val="22"/>
        </w:rPr>
        <w:t xml:space="preserve">Viewed by academic background, employees from Life Sciences (38%) and Medical (27%) fields account for the majority of exits — together nearly two-thirds of all departures — indicating that the organisation's technically specialised talent pool is its most volatile.</w:t>
      </w:r>
    </w:p>
    <w:p>
      <w:pPr>
        <w:pStyle w:val="Heading2"/>
        <w:spacing w:after="160" w:before="320"/>
      </w:pPr>
      <w:r>
        <w:rPr>
          <w:rFonts w:ascii="Cambria" w:cs="Cambria" w:eastAsia="Cambria" w:hAnsi="Cambria"/>
          <w:b/>
          <w:bCs/>
          <w:color w:val="12233F"/>
          <w:sz w:val="25"/>
          <w:szCs w:val="25"/>
        </w:rPr>
        <w:t xml:space="preserve">5.3  Early-Tenure and “Millennial” Attrition Peak</w:t>
      </w:r>
    </w:p>
    <w:p>
      <w:pPr>
        <w:spacing w:after="160" w:line="276"/>
        <w:jc w:val="both"/>
      </w:pPr>
      <w:r>
        <w:rPr>
          <w:rFonts w:ascii="Calibri" w:cs="Calibri" w:eastAsia="Calibri" w:hAnsi="Calibri"/>
          <w:b w:val="false"/>
          <w:bCs w:val="false"/>
          <w:i w:val="false"/>
          <w:iCs w:val="false"/>
          <w:color w:val="404040"/>
          <w:sz w:val="22"/>
          <w:szCs w:val="22"/>
        </w:rPr>
        <w:t xml:space="preserve">Segmented by age, the 26–35 bracket accounts for 116 exits — nearly half of all attrition — far outweighing any other age group. This cohort typically prioritises career velocity, skill development, and work-life balance over long-term loyalty, and is the most sensitive to a lack of visible progression.</w:t>
      </w:r>
    </w:p>
    <w:p>
      <w:pPr>
        <w:spacing w:after="160" w:line="276"/>
        <w:jc w:val="both"/>
      </w:pPr>
      <w:r>
        <w:rPr>
          <w:rFonts w:ascii="Calibri" w:cs="Calibri" w:eastAsia="Calibri" w:hAnsi="Calibri"/>
          <w:b w:val="false"/>
          <w:bCs w:val="false"/>
          <w:i w:val="false"/>
          <w:iCs w:val="false"/>
          <w:color w:val="404040"/>
          <w:sz w:val="22"/>
          <w:szCs w:val="22"/>
        </w:rPr>
        <w:t xml:space="preserve">Tenure data reinforces this: attrition peaks sharply at the one-year mark and declines steadily thereafter, pointing to a critical weakness in onboarding and early-career integration rather than a broad, organisation-wide dissatisfaction problem.</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rFonts w:ascii="Calibri" w:cs="Calibri" w:eastAsia="Calibri" w:hAnsi="Calibri"/>
                <w:b/>
                <w:bCs/>
                <w:color w:val="1F3864"/>
                <w:sz w:val="22"/>
                <w:szCs w:val="22"/>
              </w:rPr>
              <w:t xml:space="preserve">Supplementary Finding — Overtime &amp; Marital Status</w:t>
            </w:r>
          </w:p>
          <w:p>
            <w:pPr>
              <w:spacing w:after="0" w:line="264"/>
            </w:pPr>
            <w:r>
              <w:rPr>
                <w:rFonts w:ascii="Calibri" w:cs="Calibri" w:eastAsia="Calibri" w:hAnsi="Calibri"/>
                <w:color w:val="404040"/>
                <w:sz w:val="21"/>
                <w:szCs w:val="21"/>
              </w:rPr>
              <w:t xml:space="preserve">Cross-referencing the underlying dataset shows employees working overtime leave at roughly three times the rate of those who do not (30.6% vs 10.4%), and single employees leave at more than double the rate of married employees (25.4% vs 12.4%). Both are independent, low-cost signals that can be layered onto the existing dashboard to sharpen risk flagging.</w:t>
            </w:r>
          </w:p>
        </w:tc>
      </w:tr>
    </w:tbl>
    <w:p>
      <w:pPr>
        <w:spacing w:after="120"/>
      </w:pPr>
    </w:p>
    <w:p>
      <w:pPr>
        <w:pStyle w:val="Heading2"/>
        <w:spacing w:after="160" w:before="320"/>
      </w:pPr>
      <w:r>
        <w:rPr>
          <w:rFonts w:ascii="Cambria" w:cs="Cambria" w:eastAsia="Cambria" w:hAnsi="Cambria"/>
          <w:b/>
          <w:bCs/>
          <w:color w:val="12233F"/>
          <w:sz w:val="25"/>
          <w:szCs w:val="25"/>
        </w:rPr>
        <w:t xml:space="preserve">5.4  Gender Distribution of Attrition</w:t>
      </w:r>
    </w:p>
    <w:p>
      <w:pPr>
        <w:spacing w:after="160" w:line="276"/>
        <w:jc w:val="both"/>
      </w:pPr>
      <w:r>
        <w:rPr>
          <w:rFonts w:ascii="Calibri" w:cs="Calibri" w:eastAsia="Calibri" w:hAnsi="Calibri"/>
          <w:b w:val="false"/>
          <w:bCs w:val="false"/>
          <w:i w:val="false"/>
          <w:iCs w:val="false"/>
          <w:color w:val="404040"/>
          <w:sz w:val="22"/>
          <w:szCs w:val="22"/>
        </w:rPr>
        <w:t xml:space="preserve">The dashboard records 143 male and 80 female exits. This gap is broadly consistent with the organisation's overall gender split (approximately 60% male, 40% female), and should not, on its own, be read as evidence of a gender-specific retention issue. It is included here for completeness and should be monitored alongside workforce composition rather than in isolation.</w:t>
      </w:r>
    </w:p>
    <w:p>
      <w:pPr>
        <w:pStyle w:val="Heading1"/>
        <w:pBdr>
          <w:bottom w:val="single" w:color="1F3864" w:sz="12" w:space="6"/>
        </w:pBdr>
        <w:spacing w:after="240" w:before="480"/>
      </w:pPr>
      <w:r>
        <w:rPr>
          <w:rFonts w:ascii="Cambria" w:cs="Cambria" w:eastAsia="Cambria" w:hAnsi="Cambria"/>
          <w:b/>
          <w:bCs/>
          <w:color w:val="1F3864"/>
          <w:sz w:val="32"/>
          <w:szCs w:val="32"/>
        </w:rPr>
        <w:t xml:space="preserve">6.  Multivariate Statistical Validation of Attrition Drivers</w:t>
      </w:r>
    </w:p>
    <w:p>
      <w:pPr>
        <w:spacing w:after="160" w:line="276"/>
        <w:jc w:val="both"/>
      </w:pPr>
      <w:r>
        <w:rPr>
          <w:rFonts w:ascii="Calibri" w:cs="Calibri" w:eastAsia="Calibri" w:hAnsi="Calibri"/>
          <w:b w:val="false"/>
          <w:bCs w:val="false"/>
          <w:i w:val="false"/>
          <w:iCs w:val="false"/>
          <w:color w:val="404040"/>
          <w:sz w:val="22"/>
          <w:szCs w:val="22"/>
        </w:rPr>
        <w:t xml:space="preserve">The segment-level findings in Section 5 are descriptive: they show where attrition is concentrated, but not which factors are independently responsible once other, overlapping influences are held constant. Entry-level pay, high overtime incidence, and high-turnover job roles tend to cluster together in the same employees, so a simple cross-tabulation of any one factor against attrition risks overstating its true effect. To isolate the factors that matter on their own, a multivariate logistic regression was run against the full employee-level dataset.</w:t>
      </w:r>
    </w:p>
    <w:p>
      <w:pPr>
        <w:pStyle w:val="Heading2"/>
        <w:spacing w:after="160" w:before="320"/>
      </w:pPr>
      <w:r>
        <w:rPr>
          <w:rFonts w:ascii="Cambria" w:cs="Cambria" w:eastAsia="Cambria" w:hAnsi="Cambria"/>
          <w:b/>
          <w:bCs/>
          <w:color w:val="12233F"/>
          <w:sz w:val="25"/>
          <w:szCs w:val="25"/>
        </w:rPr>
        <w:t xml:space="preserve">6.1  Model Specification</w:t>
      </w:r>
    </w:p>
    <w:p>
      <w:pPr>
        <w:spacing w:after="160" w:line="276"/>
        <w:jc w:val="both"/>
      </w:pPr>
      <w:r>
        <w:rPr>
          <w:rFonts w:ascii="Calibri" w:cs="Calibri" w:eastAsia="Calibri" w:hAnsi="Calibri"/>
          <w:b w:val="false"/>
          <w:bCs w:val="false"/>
          <w:i w:val="false"/>
          <w:iCs w:val="false"/>
          <w:color w:val="404040"/>
          <w:sz w:val="22"/>
          <w:szCs w:val="22"/>
        </w:rPr>
        <w:t xml:space="preserve">A binomial logistic regression was fitted on 1,423 complete employee records, with attrition (Yes/No) as the dependent variable and 21 independent variables entered simultaneously — spanning demographics, compensation, tenure, role, business travel frequency, overtime status, and the four self-reported satisfaction indices available in the dataset. One data-quality issue was identified and corrected prior to modelling: eight records carried a malformed “TravelRarely” category (a duplicate of “Travel_Rarely”) which was merged before analysis. The model converged with a pseudo-R² of 0.33, which is a reasonably strong fit for behavioural HR data, where a meaningful share of variance is inherently unexplained by structured fields.</w:t>
      </w:r>
    </w:p>
    <w:p>
      <w:pPr>
        <w:pStyle w:val="Heading2"/>
        <w:spacing w:after="160" w:before="320"/>
      </w:pPr>
      <w:r>
        <w:rPr>
          <w:rFonts w:ascii="Cambria" w:cs="Cambria" w:eastAsia="Cambria" w:hAnsi="Cambria"/>
          <w:b/>
          <w:bCs/>
          <w:color w:val="12233F"/>
          <w:sz w:val="25"/>
          <w:szCs w:val="25"/>
        </w:rPr>
        <w:t xml:space="preserve">6.2  Statistically Significant Drivers (p &lt; 0.05)</w:t>
      </w:r>
    </w:p>
    <w:p>
      <w:pPr>
        <w:spacing w:after="160" w:line="276"/>
        <w:jc w:val="both"/>
      </w:pPr>
      <w:r>
        <w:rPr>
          <w:rFonts w:ascii="Calibri" w:cs="Calibri" w:eastAsia="Calibri" w:hAnsi="Calibri"/>
          <w:b w:val="false"/>
          <w:bCs w:val="false"/>
          <w:i w:val="false"/>
          <w:iCs w:val="false"/>
          <w:color w:val="404040"/>
          <w:sz w:val="22"/>
          <w:szCs w:val="22"/>
        </w:rPr>
        <w:t xml:space="preserve">The table below reports the factors that remained statistically significant after controlling for all other variables in the model, expressed as odds ratios (OR). An OR above 1 indicates increased attrition risk per unit increase in that variable; an OR below 1 indicates a protective effect.</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4200"/>
        <w:gridCol w:w="2100"/>
        <w:gridCol w:w="3100"/>
      </w:tblGrid>
      <w:tr>
        <w:trPr>
          <w:tblHeader/>
        </w:trPr>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Driver</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Odds Ratio</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Effect</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Works overtime (vs. does not)</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7.35×</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Largest single driver in the model</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Travels frequently for business (vs. none)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5.99×</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Strong risk factor</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Travels rarely for business (vs. none)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2.42×</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Moderate risk factor</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Marital status: Single (vs. baseline)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2.81×</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Moderate risk factor</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additional company previously worked at</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1.20× per company</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Job-hopping history predicts further movement</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additional km/mile from home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1.05× per unit</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Small but significant commute effect</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year since last promotion</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1.18× per year</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Stalled progression raises risk</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point of job satisfaction (1–4 scale)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0.66× per point</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Protective</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point of environment satisfaction (1–4 scale)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0.67× per point</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Protective</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point of job involvement (1–4 scale)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0.59× per point</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Protective — second-strongest effect in the model</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point of work-life balance (1–4 scale)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0.70× per point</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Protective</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additional year with current manager</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0.85× per year</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Protective — manager continuity matters</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Each additional training session per year</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0.82× per session</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Protective</w:t>
            </w:r>
          </w:p>
        </w:tc>
      </w:tr>
    </w:tbl>
    <w:p>
      <w:pPr>
        <w:spacing w:after="120"/>
      </w:pPr>
    </w:p>
    <w:p>
      <w:pPr>
        <w:spacing w:after="160" w:line="276"/>
        <w:jc w:val="both"/>
      </w:pPr>
      <w:r>
        <w:rPr>
          <w:rFonts w:ascii="Calibri" w:cs="Calibri" w:eastAsia="Calibri" w:hAnsi="Calibri"/>
          <w:b w:val="false"/>
          <w:bCs w:val="false"/>
          <w:i w:val="false"/>
          <w:iCs w:val="false"/>
          <w:color w:val="404040"/>
          <w:sz w:val="22"/>
          <w:szCs w:val="22"/>
        </w:rPr>
        <w:t xml:space="preserve">Job role was also significant even after controlling for department, salary, and the factors above: Sales Representatives, Human Resources staff, Laboratory Technicians, and Sales Executives each carry significantly elevated odds of attrition relative to the baseline role. Because several of these subgroups are small (for example, only 12 Human Resources exits and 5 Manager exits in the dataset), their individual odds ratios should be treated as directional rather than precise, and revisited as more data accumulates.</w:t>
      </w:r>
    </w:p>
    <w:tbl>
      <w:tblPr>
        <w:tblW w:type="pct" w:w="100%"/>
        <w:tblBorders>
          <w:top w:val="single" w:color="C00000" w:sz="4"/>
          <w:left w:val="single" w:color="C00000" w:sz="24"/>
          <w:bottom w:val="single" w:color="C00000" w:sz="4"/>
          <w:right w:val="single" w:color="C00000"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rFonts w:ascii="Calibri" w:cs="Calibri" w:eastAsia="Calibri" w:hAnsi="Calibri"/>
                <w:b/>
                <w:bCs/>
                <w:color w:val="C00000"/>
                <w:sz w:val="22"/>
                <w:szCs w:val="22"/>
              </w:rPr>
              <w:t xml:space="preserve">Critical Reframe — Compensation Is Not an Independent Driver</w:t>
            </w:r>
          </w:p>
          <w:p>
            <w:pPr>
              <w:spacing w:after="0" w:line="264"/>
            </w:pPr>
            <w:r>
              <w:rPr>
                <w:rFonts w:ascii="Calibri" w:cs="Calibri" w:eastAsia="Calibri" w:hAnsi="Calibri"/>
                <w:color w:val="404040"/>
                <w:sz w:val="21"/>
                <w:szCs w:val="21"/>
              </w:rPr>
              <w:t xml:space="preserve">Once overtime, travel frequency, satisfaction, job involvement, and tenure are controlled for, Monthly Income and Salary Slab are not statistically significant predictors of attrition in this model (p = 0.79). This does not mean pay is irrelevant — it means the strong salary pattern visible in the dashboard (Section 5.1) is very likely a confounded signal: low pay, high overtime, low job involvement, and high-turnover roles cluster in the same entry-level employees. The evidence points to workload and engagement, not pay level in isolation, as the more actionable lever. This meaningfully changes the priority order of the recommendations in Section 8.</w:t>
            </w:r>
          </w:p>
        </w:tc>
      </w:tr>
    </w:tbl>
    <w:p>
      <w:pPr>
        <w:spacing w:after="120"/>
      </w:pPr>
    </w:p>
    <w:p>
      <w:pPr>
        <w:pStyle w:val="Heading2"/>
        <w:spacing w:after="160" w:before="320"/>
      </w:pPr>
      <w:r>
        <w:rPr>
          <w:rFonts w:ascii="Cambria" w:cs="Cambria" w:eastAsia="Cambria" w:hAnsi="Cambria"/>
          <w:b/>
          <w:bCs/>
          <w:color w:val="12233F"/>
          <w:sz w:val="25"/>
          <w:szCs w:val="25"/>
        </w:rPr>
        <w:t xml:space="preserve">6.3  Methodological Caveats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This is a cross-sectional snapshot, not longitudinal data — it cannot fully separate cause from effect (e.g. low job involvement may drive departure, or the decision to leave may itself lower reported involvement).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Self-reported satisfaction scores are subject to the usual survey biases and should be triangulated with engagement or exit-interview data where available.</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Several job-role and department categories have small sample sizes; odds ratios for these groups carry wide confidence intervals and should be re-validated as more exits are recorded.</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The model explains attrition risk associated with observed variables; unobserved factors (external offers, personal circumstances, local labour market conditions) are not captured.</w:t>
      </w:r>
    </w:p>
    <w:p>
      <w:pPr>
        <w:pStyle w:val="Heading1"/>
        <w:pBdr>
          <w:bottom w:val="single" w:color="1F3864" w:sz="12" w:space="6"/>
        </w:pBdr>
        <w:spacing w:after="240" w:before="480"/>
      </w:pPr>
      <w:r>
        <w:rPr>
          <w:rFonts w:ascii="Cambria" w:cs="Cambria" w:eastAsia="Cambria" w:hAnsi="Cambria"/>
          <w:b/>
          <w:bCs/>
          <w:color w:val="1F3864"/>
          <w:sz w:val="32"/>
          <w:szCs w:val="32"/>
        </w:rPr>
        <w:t xml:space="preserve">7.  Estimated Financial Impact of Attrition</w:t>
      </w:r>
    </w:p>
    <w:p>
      <w:pPr>
        <w:spacing w:after="160" w:line="276"/>
        <w:jc w:val="both"/>
      </w:pPr>
      <w:r>
        <w:rPr>
          <w:rFonts w:ascii="Calibri" w:cs="Calibri" w:eastAsia="Calibri" w:hAnsi="Calibri"/>
          <w:b w:val="false"/>
          <w:bCs w:val="false"/>
          <w:i w:val="false"/>
          <w:iCs w:val="false"/>
          <w:color w:val="404040"/>
          <w:sz w:val="22"/>
          <w:szCs w:val="22"/>
        </w:rPr>
        <w:t xml:space="preserve">Headcount figures alone understate the stakes for management. To translate attrition into a language finance and leadership can act on, this section applies industry-standard replacement-cost benchmarks to the dataset's salary figures. Per SHRM's 2025 Benchmarking Report and Gallup's turnover research, replacing an employee typically costs between 50% and 200% of their annual salary, with the multiplier rising for more senior and specialised roles — driven by recruiting fees, vacancy-period productivity loss, and the 6–12 month ramp-up before a replacement reaches full productivity.</w:t>
      </w:r>
    </w:p>
    <w:p>
      <w:pPr>
        <w:pStyle w:val="Heading2"/>
        <w:spacing w:after="160" w:before="320"/>
      </w:pPr>
      <w:r>
        <w:rPr>
          <w:rFonts w:ascii="Cambria" w:cs="Cambria" w:eastAsia="Cambria" w:hAnsi="Cambria"/>
          <w:b/>
          <w:bCs/>
          <w:color w:val="12233F"/>
          <w:sz w:val="25"/>
          <w:szCs w:val="25"/>
        </w:rPr>
        <w:t xml:space="preserve">7.1  Estimation Methodology</w:t>
      </w:r>
    </w:p>
    <w:p>
      <w:pPr>
        <w:spacing w:after="160" w:line="276"/>
        <w:jc w:val="both"/>
      </w:pPr>
      <w:r>
        <w:rPr>
          <w:rFonts w:ascii="Calibri" w:cs="Calibri" w:eastAsia="Calibri" w:hAnsi="Calibri"/>
          <w:b w:val="false"/>
          <w:bCs w:val="false"/>
          <w:i w:val="false"/>
          <w:iCs w:val="false"/>
          <w:color w:val="404040"/>
          <w:sz w:val="22"/>
          <w:szCs w:val="22"/>
        </w:rPr>
        <w:t xml:space="preserve">A tiered multiplier was applied to each departing employee's annualised salary, scaled to job level to reflect the SHRM/Gallup guidance that replacement cost rises with seniority:</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400"/>
        <w:gridCol w:w="4200"/>
        <w:gridCol w:w="2800"/>
      </w:tblGrid>
      <w:tr>
        <w:trPr>
          <w:tblHeader/>
        </w:trPr>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Job Level</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Role Type</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Replacement Cost Multiplier</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1–2</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Entry-level / frontline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50% of annual salary</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3</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Experienced individual contributor</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90% of annual salary</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4</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Manager / senior specialist</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150% of annual salary</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5</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Director / executive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200% of annual salary</w:t>
            </w:r>
          </w:p>
        </w:tc>
      </w:tr>
    </w:tbl>
    <w:p>
      <w:pPr>
        <w:spacing w:after="120"/>
      </w:pPr>
    </w:p>
    <w:p>
      <w:pPr>
        <w:pStyle w:val="Heading2"/>
        <w:spacing w:after="160" w:before="320"/>
      </w:pPr>
      <w:r>
        <w:rPr>
          <w:rFonts w:ascii="Cambria" w:cs="Cambria" w:eastAsia="Cambria" w:hAnsi="Cambria"/>
          <w:b/>
          <w:bCs/>
          <w:color w:val="12233F"/>
          <w:sz w:val="25"/>
          <w:szCs w:val="25"/>
        </w:rPr>
        <w:t xml:space="preserve">7.2  Estimated Cost</w:t>
      </w:r>
    </w:p>
    <w:p>
      <w:pPr>
        <w:spacing w:after="160" w:line="276"/>
        <w:jc w:val="both"/>
      </w:pPr>
      <w:r>
        <w:rPr>
          <w:rFonts w:ascii="Calibri" w:cs="Calibri" w:eastAsia="Calibri" w:hAnsi="Calibri"/>
          <w:b w:val="false"/>
          <w:bCs w:val="false"/>
          <w:i w:val="false"/>
          <w:iCs w:val="false"/>
          <w:color w:val="404040"/>
          <w:sz w:val="22"/>
          <w:szCs w:val="22"/>
        </w:rPr>
        <w:t xml:space="preserve">Applied to the 237 recorded departures, this produces a central estimate of approximately $10.9 million in annualised replacement cost — equivalent to roughly 9.4% of the organisation's total annual payroll. Given the acknowledged width of the SHRM/Gallup benchmark range, a sensitivity band is provided alongside the central estimate.</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500"/>
        <w:gridCol w:w="1800"/>
        <w:gridCol w:w="5100"/>
      </w:tblGrid>
      <w:tr>
        <w:trPr>
          <w:tblHeader/>
        </w:trPr>
        <w:tc>
          <w:tcPr>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Metric</w:t>
            </w:r>
          </w:p>
        </w:tc>
        <w:tc>
          <w:tcPr>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Value</w:t>
            </w:r>
          </w:p>
        </w:tc>
        <w:tc>
          <w:tcPr>
            <w:shd w:fill="1F3864" w:val="clear"/>
            <w:tcMar>
              <w:top w:type="dxa" w:w="100"/>
              <w:left w:type="dxa" w:w="120"/>
              <w:bottom w:type="dxa" w:w="100"/>
              <w:right w:type="dxa" w:w="120"/>
            </w:tcMar>
            <w:vAlign w:val="center"/>
          </w:tcPr>
          <w:p>
            <w:r>
              <w:rPr>
                <w:rFonts w:ascii="Calibri" w:cs="Calibri" w:eastAsia="Calibri" w:hAnsi="Calibri"/>
                <w:b/>
                <w:bCs/>
                <w:color w:val="FFFFFF"/>
                <w:sz w:val="21"/>
                <w:szCs w:val="21"/>
              </w:rPr>
              <w:t xml:space="preserve">Interpretation</w:t>
            </w:r>
          </w:p>
        </w:tc>
      </w:tr>
      <w:tr>
        <w:tc>
          <w:tcPr>
            <w:shd w:fill="FFFFFF"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Conservative estimate (flat 50% multiplier)</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~$6.9M</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Lower bound; assumes all roles replace at frontline cost.</w:t>
            </w:r>
          </w:p>
        </w:tc>
      </w:tr>
      <w:tr>
        <w:tc>
          <w:tcPr>
            <w:shd w:fill="F2F2F2"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Central estimate (tiered by job level)</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~$10.9M</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Recommended planning figure — reflects role-seniority mix.</w:t>
            </w:r>
          </w:p>
        </w:tc>
      </w:tr>
      <w:tr>
        <w:tc>
          <w:tcPr>
            <w:shd w:fill="FFFFFF"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Upper estimate (flat 150% multiplier)</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~$20.6M</w:t>
            </w:r>
          </w:p>
        </w:tc>
        <w:tc>
          <w:tcPr>
            <w:shd w:fill="FFFFFF"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Upper bound; reflects a more specialist-heavy replacement cost.</w:t>
            </w:r>
          </w:p>
        </w:tc>
      </w:tr>
      <w:tr>
        <w:tc>
          <w:tcPr>
            <w:shd w:fill="F2F2F2" w:val="clear"/>
            <w:tcMar>
              <w:top w:type="dxa" w:w="90"/>
              <w:left w:type="dxa" w:w="120"/>
              <w:bottom w:type="dxa" w:w="90"/>
              <w:right w:type="dxa" w:w="120"/>
            </w:tcMar>
            <w:vAlign w:val="center"/>
          </w:tcPr>
          <w:p>
            <w:r>
              <w:rPr>
                <w:rFonts w:ascii="Calibri" w:cs="Calibri" w:eastAsia="Calibri" w:hAnsi="Calibri"/>
                <w:b/>
                <w:bCs/>
                <w:color w:val="12233F"/>
                <w:sz w:val="20"/>
                <w:szCs w:val="20"/>
              </w:rPr>
              <w:t xml:space="preserve">Cost as % of total annual payroll</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~9.4%</w:t>
            </w:r>
          </w:p>
        </w:tc>
        <w:tc>
          <w:tcPr>
            <w:shd w:fill="F2F2F2" w:val="clear"/>
            <w:tcMar>
              <w:top w:type="dxa" w:w="90"/>
              <w:left w:type="dxa" w:w="120"/>
              <w:bottom w:type="dxa" w:w="90"/>
              <w:right w:type="dxa" w:w="120"/>
            </w:tcMar>
            <w:vAlign w:val="center"/>
          </w:tcPr>
          <w:p>
            <w:r>
              <w:rPr>
                <w:rFonts w:ascii="Calibri" w:cs="Calibri" w:eastAsia="Calibri" w:hAnsi="Calibri"/>
                <w:b w:val="false"/>
                <w:bCs w:val="false"/>
                <w:color w:val="404040"/>
                <w:sz w:val="20"/>
                <w:szCs w:val="20"/>
              </w:rPr>
              <w:t xml:space="preserve">Central estimate as a share of the organisation's full payroll base.</w:t>
            </w:r>
          </w:p>
        </w:tc>
      </w:tr>
    </w:tbl>
    <w:p>
      <w:pPr>
        <w:pStyle w:val="Heading2"/>
        <w:spacing w:after="160" w:before="320"/>
      </w:pPr>
      <w:r>
        <w:rPr>
          <w:rFonts w:ascii="Cambria" w:cs="Cambria" w:eastAsia="Cambria" w:hAnsi="Cambria"/>
          <w:b/>
          <w:bCs/>
          <w:color w:val="12233F"/>
          <w:sz w:val="25"/>
          <w:szCs w:val="25"/>
        </w:rPr>
        <w:t xml:space="preserve">7.3  Where the Cost Is Concentrated</w:t>
      </w:r>
    </w:p>
    <w:p>
      <w:pPr>
        <w:spacing w:after="160" w:line="276"/>
        <w:jc w:val="both"/>
      </w:pPr>
      <w:r>
        <w:rPr>
          <w:rFonts w:ascii="Calibri" w:cs="Calibri" w:eastAsia="Calibri" w:hAnsi="Calibri"/>
          <w:b w:val="false"/>
          <w:bCs w:val="false"/>
          <w:i w:val="false"/>
          <w:iCs w:val="false"/>
          <w:color w:val="404040"/>
          <w:sz w:val="22"/>
          <w:szCs w:val="22"/>
        </w:rPr>
        <w:t xml:space="preserve">Viewed through a cost lens rather than a headcount lens, the priority order shifts. Sales Executives account for the single largest share of estimated replacement cost (approximately $4.1M) despite having fewer exits than Laboratory Technicians, because of their higher average salary and job-level mix. This suggests that a pure headcount-driven view (Section 5.2) can understate the financial urgency of retaining mid-tier sales talent specifically.</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3600"/>
        <w:gridCol w:w="2000"/>
        <w:gridCol w:w="3800"/>
      </w:tblGrid>
      <w:tr>
        <w:trPr>
          <w:tblHeader/>
        </w:trPr>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Job Role</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Exits</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Estimated Replacement Cost</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Sales Executive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58</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~$4.07M</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Laboratory Technician</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62</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~$1.11M</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Manager</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5</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~$1.68M</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Research Director</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2</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~$0.93M</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Healthcare Representative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9</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~$0.82M</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Research Scientist</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47</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~$0.78M</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Manufacturing Director</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10</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~$0.67M</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Sales Representative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33</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~$0.47M</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Human Resources</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12</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~$0.37M</w:t>
            </w:r>
          </w:p>
        </w:tc>
      </w:tr>
    </w:tbl>
    <w:p>
      <w:pPr>
        <w:spacing w:after="12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F2F2F2" w:val="clear"/>
            <w:tcMar>
              <w:top w:type="dxa" w:w="160"/>
              <w:left w:type="dxa" w:w="220"/>
              <w:bottom w:type="dxa" w:w="160"/>
              <w:right w:type="dxa" w:w="220"/>
            </w:tcMar>
          </w:tcPr>
          <w:p>
            <w:pPr>
              <w:spacing w:after="80"/>
            </w:pPr>
            <w:r>
              <w:rPr>
                <w:rFonts w:ascii="Calibri" w:cs="Calibri" w:eastAsia="Calibri" w:hAnsi="Calibri"/>
                <w:b/>
                <w:bCs/>
                <w:color w:val="1F3864"/>
                <w:sz w:val="22"/>
                <w:szCs w:val="22"/>
              </w:rPr>
              <w:t xml:space="preserve">Important Caveat on Financial Estimates</w:t>
            </w:r>
          </w:p>
          <w:p>
            <w:pPr>
              <w:spacing w:after="0" w:line="264"/>
            </w:pPr>
            <w:r>
              <w:rPr>
                <w:rFonts w:ascii="Calibri" w:cs="Calibri" w:eastAsia="Calibri" w:hAnsi="Calibri"/>
                <w:color w:val="404040"/>
                <w:sz w:val="21"/>
                <w:szCs w:val="21"/>
              </w:rPr>
              <w:t xml:space="preserve">These figures are illustrative, built by applying published industry benchmarks (SHRM 2025 Benchmarking Report; Gallup) to the salary data available in this dataset. They are not a substitute for the organisation's own actual recruiting, onboarding, and vacancy-cost data, and should be validated against Finance and Talent Acquisition records before being used in a formal budget submission. Currency units follow the source dataset as provided.</w:t>
            </w:r>
          </w:p>
        </w:tc>
      </w:tr>
    </w:tbl>
    <w:p>
      <w:pPr>
        <w:pStyle w:val="Heading1"/>
        <w:pBdr>
          <w:bottom w:val="single" w:color="1F3864" w:sz="12" w:space="6"/>
        </w:pBdr>
        <w:spacing w:after="240" w:before="480"/>
      </w:pPr>
      <w:r>
        <w:rPr>
          <w:rFonts w:ascii="Cambria" w:cs="Cambria" w:eastAsia="Cambria" w:hAnsi="Cambria"/>
          <w:b/>
          <w:bCs/>
          <w:color w:val="1F3864"/>
          <w:sz w:val="32"/>
          <w:szCs w:val="32"/>
        </w:rPr>
        <w:t xml:space="preserve">8.  Recommendations for Management</w:t>
      </w:r>
    </w:p>
    <w:p>
      <w:pPr>
        <w:spacing w:after="160" w:line="276"/>
        <w:jc w:val="both"/>
      </w:pPr>
      <w:r>
        <w:rPr>
          <w:rFonts w:ascii="Calibri" w:cs="Calibri" w:eastAsia="Calibri" w:hAnsi="Calibri"/>
          <w:b w:val="false"/>
          <w:bCs w:val="false"/>
          <w:i w:val="false"/>
          <w:iCs w:val="false"/>
          <w:color w:val="404040"/>
          <w:sz w:val="22"/>
          <w:szCs w:val="22"/>
        </w:rPr>
        <w:t xml:space="preserve">The recommendations below are re-prioritised against the statistically validated drivers in Section 6 and the cost concentration identified in Section 7, rather than the univariate salary pattern alone. Each is tagged with the evidence that supports it.</w:t>
      </w:r>
    </w:p>
    <w:p>
      <w:pPr>
        <w:spacing w:after="120" w:before="200"/>
      </w:pPr>
      <w:r>
        <w:rPr>
          <w:rFonts w:ascii="Calibri" w:cs="Calibri" w:eastAsia="Calibri" w:hAnsi="Calibri"/>
          <w:b/>
          <w:bCs/>
          <w:color w:val="BF8F00"/>
          <w:sz w:val="23"/>
          <w:szCs w:val="23"/>
        </w:rPr>
        <w:t xml:space="preserve">8.1  Overtime &amp; Workload Rationalisation — Priority: Highest (OR 7.35)</w:t>
      </w:r>
    </w:p>
    <w:p>
      <w:pPr>
        <w:spacing w:after="160" w:line="276"/>
        <w:jc w:val="both"/>
      </w:pPr>
      <w:r>
        <w:rPr>
          <w:rFonts w:ascii="Calibri" w:cs="Calibri" w:eastAsia="Calibri" w:hAnsi="Calibri"/>
          <w:b w:val="false"/>
          <w:bCs w:val="false"/>
          <w:i w:val="false"/>
          <w:iCs w:val="false"/>
          <w:color w:val="404040"/>
          <w:sz w:val="22"/>
          <w:szCs w:val="22"/>
        </w:rPr>
        <w:t xml:space="preserve">This is the single strongest statistically validated driver of attrition in the dataset. Departmental leadership should conduct an immediate workload and staffing review in the functions with the highest overtime incidence, with a target of reducing sustained overtime dependency rather than treating it as a permanent staffing strategy. Where overtime is structurally required, it should be compensated and time-boxed, with mandatory recovery periods.</w:t>
      </w:r>
    </w:p>
    <w:p>
      <w:pPr>
        <w:spacing w:after="120" w:before="200"/>
      </w:pPr>
      <w:r>
        <w:rPr>
          <w:rFonts w:ascii="Calibri" w:cs="Calibri" w:eastAsia="Calibri" w:hAnsi="Calibri"/>
          <w:b/>
          <w:bCs/>
          <w:color w:val="BF8F00"/>
          <w:sz w:val="23"/>
          <w:szCs w:val="23"/>
        </w:rPr>
        <w:t xml:space="preserve">8.2  Redesign of Frequent-Travel Roles — Priority: High (OR 5.99)</w:t>
      </w:r>
    </w:p>
    <w:p>
      <w:pPr>
        <w:spacing w:after="160" w:line="276"/>
        <w:jc w:val="both"/>
      </w:pPr>
      <w:r>
        <w:rPr>
          <w:rFonts w:ascii="Calibri" w:cs="Calibri" w:eastAsia="Calibri" w:hAnsi="Calibri"/>
          <w:b w:val="false"/>
          <w:bCs w:val="false"/>
          <w:i w:val="false"/>
          <w:iCs w:val="false"/>
          <w:color w:val="404040"/>
          <w:sz w:val="22"/>
          <w:szCs w:val="22"/>
        </w:rPr>
        <w:t xml:space="preserve">Employees who travel frequently for business carry close to six times the attrition risk of those who do not. Roles with heavy travel demands — concentrated in Sales — should be reviewed for travel-frequency caps, rotation of high-travel assignments across team members, and travel-related allowances or time-off-in-lieu policies.</w:t>
      </w:r>
    </w:p>
    <w:p>
      <w:pPr>
        <w:spacing w:after="120" w:before="200"/>
      </w:pPr>
      <w:r>
        <w:rPr>
          <w:rFonts w:ascii="Calibri" w:cs="Calibri" w:eastAsia="Calibri" w:hAnsi="Calibri"/>
          <w:b/>
          <w:bCs/>
          <w:color w:val="BF8F00"/>
          <w:sz w:val="23"/>
          <w:szCs w:val="23"/>
        </w:rPr>
        <w:t xml:space="preserve">8.3  Manager Continuity &amp; Promotion Cadence — Priority: High (OR 1.18 / 0.85)</w:t>
      </w:r>
    </w:p>
    <w:p>
      <w:pPr>
        <w:spacing w:after="160" w:line="276"/>
        <w:jc w:val="both"/>
      </w:pPr>
      <w:r>
        <w:rPr>
          <w:rFonts w:ascii="Calibri" w:cs="Calibri" w:eastAsia="Calibri" w:hAnsi="Calibri"/>
          <w:b w:val="false"/>
          <w:bCs w:val="false"/>
          <w:i w:val="false"/>
          <w:iCs w:val="false"/>
          <w:color w:val="404040"/>
          <w:sz w:val="22"/>
          <w:szCs w:val="22"/>
        </w:rPr>
        <w:t xml:space="preserve">Time since last promotion increases risk, while longer tenure with the same manager reduces it. This points to two linked interventions: a structured promotion/career-review cycle (at minimum annual, with clear criteria) to prevent progression from stalling, and deliberate limits on unnecessary manager reassignment, since manager continuity is itself protective.</w:t>
      </w:r>
    </w:p>
    <w:p>
      <w:pPr>
        <w:spacing w:after="120" w:before="200"/>
      </w:pPr>
      <w:r>
        <w:rPr>
          <w:rFonts w:ascii="Calibri" w:cs="Calibri" w:eastAsia="Calibri" w:hAnsi="Calibri"/>
          <w:b/>
          <w:bCs/>
          <w:color w:val="BF8F00"/>
          <w:sz w:val="23"/>
          <w:szCs w:val="23"/>
        </w:rPr>
        <w:t xml:space="preserve">8.4  Job Involvement &amp; Engagement Programme — Priority: High (OR 0.59)</w:t>
      </w:r>
    </w:p>
    <w:p>
      <w:pPr>
        <w:spacing w:after="160" w:line="276"/>
        <w:jc w:val="both"/>
      </w:pPr>
      <w:r>
        <w:rPr>
          <w:rFonts w:ascii="Calibri" w:cs="Calibri" w:eastAsia="Calibri" w:hAnsi="Calibri"/>
          <w:b w:val="false"/>
          <w:bCs w:val="false"/>
          <w:i w:val="false"/>
          <w:iCs w:val="false"/>
          <w:color w:val="404040"/>
          <w:sz w:val="22"/>
          <w:szCs w:val="22"/>
        </w:rPr>
        <w:t xml:space="preserve">Job involvement was the second-strongest protective factor in the model, ahead of both job satisfaction and work-life balance individually. This points to interventions that increase employees' sense of ownership and connection to their work specifically — project ownership, cross-functional exposure, and recognition programmes — rather than generic engagement surveys alone.</w:t>
      </w:r>
    </w:p>
    <w:p>
      <w:pPr>
        <w:spacing w:after="120" w:before="200"/>
      </w:pPr>
      <w:r>
        <w:rPr>
          <w:rFonts w:ascii="Calibri" w:cs="Calibri" w:eastAsia="Calibri" w:hAnsi="Calibri"/>
          <w:b/>
          <w:bCs/>
          <w:color w:val="BF8F00"/>
          <w:sz w:val="23"/>
          <w:szCs w:val="23"/>
        </w:rPr>
        <w:t xml:space="preserve">8.5  Role-Specific Retention for Sales Executives, Sales Representatives, Laboratory Technicians and HR — Priority: High</w:t>
      </w:r>
    </w:p>
    <w:p>
      <w:pPr>
        <w:spacing w:after="160" w:line="276"/>
        <w:jc w:val="both"/>
      </w:pPr>
      <w:r>
        <w:rPr>
          <w:rFonts w:ascii="Calibri" w:cs="Calibri" w:eastAsia="Calibri" w:hAnsi="Calibri"/>
          <w:b w:val="false"/>
          <w:bCs w:val="false"/>
          <w:i w:val="false"/>
          <w:iCs w:val="false"/>
          <w:color w:val="404040"/>
          <w:sz w:val="22"/>
          <w:szCs w:val="22"/>
        </w:rPr>
        <w:t xml:space="preserve">These roles carry significantly elevated attrition risk even after controlling for pay, satisfaction, and workload — and Sales Executives alone represent the single largest concentration of estimated replacement cost (Section 7.3). Structured stay interviews and visible three-year career ladders (for example, progression into Senior Technician or Area Manager tracks) should be prioritised for these four role families specifically, ahead of a broader organisation-wide rollout.</w:t>
      </w:r>
    </w:p>
    <w:p>
      <w:pPr>
        <w:spacing w:after="120" w:before="200"/>
      </w:pPr>
      <w:r>
        <w:rPr>
          <w:rFonts w:ascii="Calibri" w:cs="Calibri" w:eastAsia="Calibri" w:hAnsi="Calibri"/>
          <w:b/>
          <w:bCs/>
          <w:color w:val="BF8F00"/>
          <w:sz w:val="23"/>
          <w:szCs w:val="23"/>
        </w:rPr>
        <w:t xml:space="preserve">8.6  The “First Anniversary” Intervention — Priority: Medium</w:t>
      </w:r>
    </w:p>
    <w:p>
      <w:pPr>
        <w:spacing w:after="160" w:line="276"/>
        <w:jc w:val="both"/>
      </w:pPr>
      <w:r>
        <w:rPr>
          <w:rFonts w:ascii="Calibri" w:cs="Calibri" w:eastAsia="Calibri" w:hAnsi="Calibri"/>
          <w:b w:val="false"/>
          <w:bCs w:val="false"/>
          <w:i w:val="false"/>
          <w:iCs w:val="false"/>
          <w:color w:val="404040"/>
          <w:sz w:val="22"/>
          <w:szCs w:val="22"/>
        </w:rPr>
        <w:t xml:space="preserve">Attrition still peaks around the one-year mark (Section 5.3). HR should institute structured stay interviews at the 6-month and 10-month marks — proactive conversations designed to surface frustrations while still resolvable, rather than relying solely on exit interviews once the decision to leave has already been made.</w:t>
      </w:r>
    </w:p>
    <w:p>
      <w:pPr>
        <w:spacing w:after="120" w:before="200"/>
      </w:pPr>
      <w:r>
        <w:rPr>
          <w:rFonts w:ascii="Calibri" w:cs="Calibri" w:eastAsia="Calibri" w:hAnsi="Calibri"/>
          <w:b/>
          <w:bCs/>
          <w:color w:val="BF8F00"/>
          <w:sz w:val="23"/>
          <w:szCs w:val="23"/>
        </w:rPr>
        <w:t xml:space="preserve">8.7  Compensation Review — Priority: Medium (Reframed)</w:t>
      </w:r>
    </w:p>
    <w:p>
      <w:pPr>
        <w:spacing w:after="160" w:line="276"/>
        <w:jc w:val="both"/>
      </w:pPr>
      <w:r>
        <w:rPr>
          <w:rFonts w:ascii="Calibri" w:cs="Calibri" w:eastAsia="Calibri" w:hAnsi="Calibri"/>
          <w:b w:val="false"/>
          <w:bCs w:val="false"/>
          <w:i w:val="false"/>
          <w:iCs w:val="false"/>
          <w:color w:val="404040"/>
          <w:sz w:val="22"/>
          <w:szCs w:val="22"/>
        </w:rPr>
        <w:t xml:space="preserve">The regression indicates that salary alone is not a statistically independent driver of attrition once workload, travel, involvement, and role are accounted for — meaning a pay increase in isolation is unlikely to move the needle as much as the dashboard's univariate view suggests. That said, a targeted review of entry-level compensation remains worthwhile as one component of a combined package (alongside 8.1–8.5), both because of the sheer headcount concentration in this bracket and because competitive pay signals organisational respect even where it is not the primary statistical driver.</w:t>
      </w:r>
    </w:p>
    <w:p>
      <w:pPr>
        <w:spacing w:after="120" w:before="200"/>
      </w:pPr>
      <w:r>
        <w:rPr>
          <w:rFonts w:ascii="Calibri" w:cs="Calibri" w:eastAsia="Calibri" w:hAnsi="Calibri"/>
          <w:b/>
          <w:bCs/>
          <w:color w:val="BF8F00"/>
          <w:sz w:val="23"/>
          <w:szCs w:val="23"/>
        </w:rPr>
        <w:t xml:space="preserve">8.8  Commute-Sensitive Flexibility — Priority: Lower</w:t>
      </w:r>
    </w:p>
    <w:p>
      <w:pPr>
        <w:spacing w:after="160" w:line="276"/>
        <w:jc w:val="both"/>
      </w:pPr>
      <w:r>
        <w:rPr>
          <w:rFonts w:ascii="Calibri" w:cs="Calibri" w:eastAsia="Calibri" w:hAnsi="Calibri"/>
          <w:b w:val="false"/>
          <w:bCs w:val="false"/>
          <w:i w:val="false"/>
          <w:iCs w:val="false"/>
          <w:color w:val="404040"/>
          <w:sz w:val="22"/>
          <w:szCs w:val="22"/>
        </w:rPr>
        <w:t xml:space="preserve">Distance from home showed a small but statistically significant effect. Extending hybrid or flexible-start arrangements to employees with longer commutes is a low-cost addition to the package above.</w:t>
      </w:r>
    </w:p>
    <w:p>
      <w:pPr>
        <w:pStyle w:val="Heading1"/>
        <w:pBdr>
          <w:bottom w:val="single" w:color="1F3864" w:sz="12" w:space="6"/>
        </w:pBdr>
        <w:spacing w:after="240" w:before="480"/>
      </w:pPr>
      <w:r>
        <w:rPr>
          <w:rFonts w:ascii="Cambria" w:cs="Cambria" w:eastAsia="Cambria" w:hAnsi="Cambria"/>
          <w:b/>
          <w:bCs/>
          <w:color w:val="1F3864"/>
          <w:sz w:val="32"/>
          <w:szCs w:val="32"/>
        </w:rPr>
        <w:t xml:space="preserve">9.  Implementation Roadmap</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2000"/>
        <w:gridCol w:w="5200"/>
        <w:gridCol w:w="2200"/>
      </w:tblGrid>
      <w:tr>
        <w:trPr>
          <w:tblHeader/>
        </w:trPr>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Timeframe</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Action</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Owner</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0–1 Month</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Workload/overtime audit in highest-overtime functions</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Departmental Heads / Operations</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0–1 Month</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Design and pilot 6-month / 10-month stay-interview framework</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HR Business Partners</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1–3 Months</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Review travel-frequency policy and rotation for high-travel Sales roles</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Sales Leadership</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1–3 Months</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Launch structured annual promotion/career-review cycle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Talent Development</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1–3 Months</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Targeted stay interviews for Sales Executive, Sales Rep, Lab Technician, HR</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HR Business Partners</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3–6 Months</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Job-involvement / engagement pilot (project ownership, recognition)</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HR &amp; Department Heads</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3–6 Months</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Entry-level compensation benchmarking study</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Compensation &amp; Benefits Team</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Ongoing</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Quarterly refresh of dashboard KPIs, regression model, and cost estimate</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People Analytics / HRBP</w:t>
            </w:r>
          </w:p>
        </w:tc>
      </w:tr>
    </w:tbl>
    <w:p>
      <w:pPr>
        <w:pStyle w:val="Heading1"/>
        <w:pBdr>
          <w:bottom w:val="single" w:color="1F3864" w:sz="12" w:space="6"/>
        </w:pBdr>
        <w:spacing w:after="240" w:before="480"/>
      </w:pPr>
      <w:r>
        <w:rPr>
          <w:rFonts w:ascii="Cambria" w:cs="Cambria" w:eastAsia="Cambria" w:hAnsi="Cambria"/>
          <w:b/>
          <w:bCs/>
          <w:color w:val="1F3864"/>
          <w:sz w:val="32"/>
          <w:szCs w:val="32"/>
        </w:rPr>
        <w:t xml:space="preserve">10.  Conclusion</w:t>
      </w:r>
    </w:p>
    <w:p>
      <w:pPr>
        <w:spacing w:after="160" w:line="276"/>
        <w:jc w:val="both"/>
      </w:pPr>
      <w:r>
        <w:rPr>
          <w:rFonts w:ascii="Calibri" w:cs="Calibri" w:eastAsia="Calibri" w:hAnsi="Calibri"/>
          <w:b w:val="false"/>
          <w:bCs w:val="false"/>
          <w:i w:val="false"/>
          <w:iCs w:val="false"/>
          <w:color w:val="404040"/>
          <w:sz w:val="22"/>
          <w:szCs w:val="22"/>
        </w:rPr>
        <w:t xml:space="preserve">At 16.1%, the organisation's overall attrition rate is manageable in isolation. The strategic risk lies in its concentration and, once statistically isolated, its actual drivers: overtime load and business travel frequency are the two strongest independent predictors of attrition in this workforce — well ahead of compensation, which loses statistical significance once workload and engagement factors are controlled for. Left unaddressed, this pattern will continue to erode the organisation's ability to build institutional depth in exactly the roles it can least afford to keep re-hiring for, at an estimated annualised cost in the region of $10.9 million, or roughly 9.4% of total payroll.</w:t>
      </w:r>
    </w:p>
    <w:p>
      <w:pPr>
        <w:spacing w:after="160" w:line="276"/>
        <w:jc w:val="both"/>
      </w:pPr>
      <w:r>
        <w:rPr>
          <w:rFonts w:ascii="Calibri" w:cs="Calibri" w:eastAsia="Calibri" w:hAnsi="Calibri"/>
          <w:b w:val="false"/>
          <w:bCs w:val="false"/>
          <w:i w:val="false"/>
          <w:iCs w:val="false"/>
          <w:color w:val="404040"/>
          <w:sz w:val="22"/>
          <w:szCs w:val="22"/>
        </w:rPr>
        <w:t xml:space="preserve">The recommendations in Section 8 are ordered by statistically validated impact rather than intuition: workload rationalisation, travel-role redesign, manager continuity, and job involvement now rank ahead of a blanket compensation increase. This reordering is the central contribution of the analysis in Sections 6 and 7, and should shape how the initial phase of retention investment is sequenced. The accompanying Power BI dashboard, and the regression model underlying this report, should both be refreshed on a quarterly basis so that HR can track whether the intervention priorities continue to hold as new data accumulates.</w:t>
      </w:r>
    </w:p>
    <w:p>
      <w:pPr>
        <w:pStyle w:val="Heading1"/>
        <w:pBdr>
          <w:bottom w:val="single" w:color="1F3864" w:sz="12" w:space="6"/>
        </w:pBdr>
        <w:spacing w:after="240" w:before="480"/>
      </w:pPr>
      <w:r>
        <w:rPr>
          <w:rFonts w:ascii="Cambria" w:cs="Cambria" w:eastAsia="Cambria" w:hAnsi="Cambria"/>
          <w:b/>
          <w:bCs/>
          <w:color w:val="1F3864"/>
          <w:sz w:val="32"/>
          <w:szCs w:val="32"/>
        </w:rPr>
        <w:t xml:space="preserve">11.  Appendix</w:t>
      </w:r>
    </w:p>
    <w:p>
      <w:pPr>
        <w:pStyle w:val="Heading2"/>
        <w:spacing w:after="160" w:before="320"/>
      </w:pPr>
      <w:r>
        <w:rPr>
          <w:rFonts w:ascii="Cambria" w:cs="Cambria" w:eastAsia="Cambria" w:hAnsi="Cambria"/>
          <w:b/>
          <w:bCs/>
          <w:color w:val="12233F"/>
          <w:sz w:val="25"/>
          <w:szCs w:val="25"/>
        </w:rPr>
        <w:t xml:space="preserve">A.1  Data Dictionary (Key Fields)</w:t>
      </w:r>
    </w:p>
    <w:tbl>
      <w:tblPr>
        <w:tblW w:type="pct" w:w="100%"/>
        <w:tblBorders>
          <w:top w:val="single" w:color="D9D9D9" w:sz="2"/>
          <w:left w:val="single" w:color="D9D9D9" w:sz="2"/>
          <w:bottom w:val="single" w:color="D9D9D9" w:sz="2"/>
          <w:right w:val="single" w:color="D9D9D9" w:sz="2"/>
          <w:insideH w:val="single" w:color="D9D9D9" w:sz="2"/>
          <w:insideV w:val="single" w:color="D9D9D9" w:sz="2"/>
        </w:tblBorders>
      </w:tblPr>
      <w:tblGrid>
        <w:gridCol w:w="3200"/>
        <w:gridCol w:w="6200"/>
      </w:tblGrid>
      <w:tr>
        <w:trPr>
          <w:tblHeader/>
        </w:trPr>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Field</w:t>
            </w:r>
          </w:p>
        </w:tc>
        <w:tc>
          <w:tcPr>
            <w:shd w:fill="1F3864" w:val="clear"/>
            <w:tcMar>
              <w:top w:type="dxa" w:w="90"/>
              <w:left w:type="dxa" w:w="110"/>
              <w:bottom w:type="dxa" w:w="90"/>
              <w:right w:type="dxa" w:w="110"/>
            </w:tcMar>
            <w:vAlign w:val="center"/>
          </w:tcPr>
          <w:p>
            <w:r>
              <w:rPr>
                <w:rFonts w:ascii="Calibri" w:cs="Calibri" w:eastAsia="Calibri" w:hAnsi="Calibri"/>
                <w:b/>
                <w:bCs/>
                <w:color w:val="FFFFFF"/>
                <w:sz w:val="20"/>
                <w:szCs w:val="20"/>
              </w:rPr>
              <w:t xml:space="preserve">Description</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Attrition</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Whether the employee has left the organisation (Yes/No)</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SalarySlab</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Banded monthly salary category</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JobRole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Specific role held by the employee</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EducationField</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Academic discipline of the employee</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AgeGroup</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Banded age category</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YearsAtCompany</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Tenure in years at time of record</w:t>
            </w:r>
          </w:p>
        </w:tc>
      </w:tr>
      <w:tr>
        <w:tc>
          <w:tcPr>
            <w:shd w:fill="FFFFFF"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OverTime</w:t>
            </w:r>
          </w:p>
        </w:tc>
        <w:tc>
          <w:tcPr>
            <w:shd w:fill="FFFFFF"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Whether the employee regularly works overtime (Yes/No)</w:t>
            </w:r>
          </w:p>
        </w:tc>
      </w:tr>
      <w:tr>
        <w:tc>
          <w:tcPr>
            <w:shd w:fill="F2F2F2" w:val="clear"/>
            <w:tcMar>
              <w:top w:type="dxa" w:w="80"/>
              <w:left w:type="dxa" w:w="110"/>
              <w:bottom w:type="dxa" w:w="80"/>
              <w:right w:type="dxa" w:w="110"/>
            </w:tcMar>
            <w:vAlign w:val="center"/>
          </w:tcPr>
          <w:p>
            <w:r>
              <w:rPr>
                <w:rFonts w:ascii="Calibri" w:cs="Calibri" w:eastAsia="Calibri" w:hAnsi="Calibri"/>
                <w:b/>
                <w:bCs/>
                <w:color w:val="12233F"/>
                <w:sz w:val="19"/>
                <w:szCs w:val="19"/>
              </w:rPr>
              <w:t xml:space="preserve">WorkLifeBalance / JobSatisfaction / EnvironmentSatisfaction</w:t>
            </w:r>
          </w:p>
        </w:tc>
        <w:tc>
          <w:tcPr>
            <w:shd w:fill="F2F2F2" w:val="clear"/>
            <w:tcMar>
              <w:top w:type="dxa" w:w="80"/>
              <w:left w:type="dxa" w:w="110"/>
              <w:bottom w:type="dxa" w:w="80"/>
              <w:right w:type="dxa" w:w="110"/>
            </w:tcMar>
            <w:vAlign w:val="center"/>
          </w:tcPr>
          <w:p>
            <w:r>
              <w:rPr>
                <w:rFonts w:ascii="Calibri" w:cs="Calibri" w:eastAsia="Calibri" w:hAnsi="Calibri"/>
                <w:b w:val="false"/>
                <w:bCs w:val="false"/>
                <w:color w:val="404040"/>
                <w:sz w:val="19"/>
                <w:szCs w:val="19"/>
              </w:rPr>
              <w:t xml:space="preserve">Self-reported satisfaction scores (1–4 scale)</w:t>
            </w:r>
          </w:p>
        </w:tc>
      </w:tr>
    </w:tbl>
    <w:p>
      <w:pPr>
        <w:spacing w:after="160"/>
      </w:pPr>
    </w:p>
    <w:p>
      <w:pPr>
        <w:pStyle w:val="Heading2"/>
        <w:spacing w:after="160" w:before="320"/>
      </w:pPr>
      <w:r>
        <w:rPr>
          <w:rFonts w:ascii="Cambria" w:cs="Cambria" w:eastAsia="Cambria" w:hAnsi="Cambria"/>
          <w:b/>
          <w:bCs/>
          <w:color w:val="12233F"/>
          <w:sz w:val="25"/>
          <w:szCs w:val="25"/>
        </w:rPr>
        <w:t xml:space="preserve">A.2  Deliverables Accompanying This Report</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Power BI project file (.pbix) — interactive dashboard with department-level filters.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Source dataset (.csv) — 1,470 employee records used for analysis.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This report, summarising descriptive findings, statistically validated drivers, financial impact estimate, and recommendations for management review.</w:t>
      </w:r>
    </w:p>
    <w:p>
      <w:pPr>
        <w:spacing w:after="160"/>
      </w:pPr>
    </w:p>
    <w:p>
      <w:pPr>
        <w:pStyle w:val="Heading2"/>
        <w:spacing w:after="160" w:before="320"/>
      </w:pPr>
      <w:r>
        <w:rPr>
          <w:rFonts w:ascii="Cambria" w:cs="Cambria" w:eastAsia="Cambria" w:hAnsi="Cambria"/>
          <w:b/>
          <w:bCs/>
          <w:color w:val="12233F"/>
          <w:sz w:val="25"/>
          <w:szCs w:val="25"/>
        </w:rPr>
        <w:t xml:space="preserve">A.3  Financial Benchmark Sources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SHRM 2025 Benchmarking Report — cost-per-hire and replacement-cost benchmarks.</w:t>
      </w:r>
    </w:p>
    <w:p>
      <w:pPr>
        <w:pStyle w:val="ListParagraph"/>
        <w:numPr>
          <w:ilvl w:val="0"/>
          <w:numId w:val="2"/>
        </w:numPr>
        <w:spacing w:after="100" w:line="276"/>
      </w:pPr>
      <w:r>
        <w:rPr>
          <w:rFonts w:ascii="Calibri" w:cs="Calibri" w:eastAsia="Calibri" w:hAnsi="Calibri"/>
          <w:b w:val="false"/>
          <w:bCs w:val="false"/>
          <w:color w:val="404040"/>
          <w:sz w:val="22"/>
          <w:szCs w:val="22"/>
        </w:rPr>
        <w:t xml:space="preserve">Gallup, State of the Global Workplace / turnover research — replacement cost as 50–200% of annual salary, scaling with role seniority.</w:t>
      </w:r>
    </w:p>
    <w:sectPr>
      <w:headerReference w:type="default" r:id="rId11"/>
      <w:footerReference w:type="default" r:id="rId12"/>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Calibri" w:cs="Calibri" w:eastAsia="Calibri" w:hAnsi="Calibri"/>
        <w:color w:val="404040"/>
        <w:sz w:val="16"/>
        <w:szCs w:val="16"/>
      </w:rPr>
      <w:t xml:space="preserve">Page </w:t>
    </w:r>
    <w:r>
      <w:rPr>
        <w:rFonts w:ascii="Calibri" w:cs="Calibri" w:eastAsia="Calibri" w:hAnsi="Calibri"/>
        <w:color w:val="404040"/>
        <w:sz w:val="16"/>
        <w:szCs w:val="16"/>
      </w:rPr>
      <w:fldChar w:fldCharType="begin"/>
      <w:instrText xml:space="preserve">PAGE</w:instrText>
      <w:fldChar w:fldCharType="separate"/>
      <w:fldChar w:fldCharType="end"/>
    </w:r>
    <w:r>
      <w:rPr>
        <w:rFonts w:ascii="Calibri" w:cs="Calibri" w:eastAsia="Calibri" w:hAnsi="Calibri"/>
        <w:color w:val="404040"/>
        <w:sz w:val="16"/>
        <w:szCs w:val="16"/>
      </w:rPr>
      <w:t xml:space="preserve"> of </w:t>
    </w:r>
    <w:r>
      <w:rPr>
        <w:rFonts w:ascii="Calibri" w:cs="Calibri" w:eastAsia="Calibri" w:hAnsi="Calibri"/>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72"/>
      </w:tabs>
    </w:pPr>
    <w:r>
      <w:rPr>
        <w:rFonts w:ascii="Calibri" w:cs="Calibri" w:eastAsia="Calibri" w:hAnsi="Calibri"/>
        <w:color w:val="404040"/>
        <w:sz w:val="16"/>
        <w:szCs w:val="16"/>
      </w:rPr>
      <w:t xml:space="preserve">HR Analytics — Attrition Strategy Report</w:t>
    </w:r>
    <w:r>
      <w:ptab w:alignment="right" w:leader="none"/>
    </w:r>
    <w:r>
      <w:rPr>
        <w:rFonts w:ascii="Calibri" w:cs="Calibri" w:eastAsia="Calibri" w:hAnsi="Calibri"/>
        <w:i/>
        <w:iCs/>
        <w:color w:val="40404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7eed1e1acec8061cbf050c2a077952ce709b569.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2026-07-21T11:38:07.913Z</dcterms:created>
  <dcterms:modified xsi:type="dcterms:W3CDTF">2026-07-21T11:38:07.923Z</dcterms:modified>
</cp:coreProperties>
</file>

<file path=docProps/custom.xml><?xml version="1.0" encoding="utf-8"?>
<Properties xmlns="http://schemas.openxmlformats.org/officeDocument/2006/custom-properties" xmlns:vt="http://schemas.openxmlformats.org/officeDocument/2006/docPropsVTypes"/>
</file>