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722D" w14:textId="7AE8156C" w:rsidR="00024AF5" w:rsidRPr="004D10AA" w:rsidRDefault="00765D3A" w:rsidP="00765D3A">
      <w:pPr>
        <w:pStyle w:val="Title"/>
        <w:jc w:val="center"/>
      </w:pPr>
      <w:r w:rsidRPr="004D10AA">
        <w:t>Greek Hedging Code Explanation</w:t>
      </w:r>
    </w:p>
    <w:p w14:paraId="1C0A07CD" w14:textId="77777777" w:rsidR="00765D3A" w:rsidRPr="004D10AA" w:rsidRDefault="00765D3A" w:rsidP="00765D3A"/>
    <w:p w14:paraId="1A8F385C" w14:textId="5C770663" w:rsidR="005733D2" w:rsidRPr="004D10AA" w:rsidRDefault="001161CB" w:rsidP="001161CB">
      <w:pPr>
        <w:pStyle w:val="Heading1"/>
      </w:pPr>
      <w:r>
        <w:t>Basic Code Explanation</w:t>
      </w:r>
    </w:p>
    <w:p w14:paraId="145D2038" w14:textId="143251DC" w:rsidR="004D10AA" w:rsidRDefault="004D10AA" w:rsidP="006C7324">
      <w:pPr>
        <w:jc w:val="both"/>
      </w:pPr>
      <w:r w:rsidRPr="004D10AA">
        <w:t>The provided Python code conducts a comprehensive analysis of delta hedging strategies for options trading. It begins by importing necessary libraries and fetching historical stock price data using Yahoo Finance API. After pre-processing the data, including calculating returns and volatility, the code defines functions for implied volatility calculation and delta hedging simulation. Implied volatility is computed using the Black-Scholes model, providing insight into the market's expectation of future volatility.</w:t>
      </w:r>
    </w:p>
    <w:p w14:paraId="32EDA80C" w14:textId="77777777" w:rsidR="006C7324" w:rsidRPr="004D10AA" w:rsidRDefault="006C7324" w:rsidP="006C7324">
      <w:pPr>
        <w:jc w:val="both"/>
      </w:pPr>
    </w:p>
    <w:p w14:paraId="53A9D0EB" w14:textId="61C82953" w:rsidR="004D10AA" w:rsidRDefault="004D10AA" w:rsidP="006C7324">
      <w:pPr>
        <w:jc w:val="both"/>
      </w:pPr>
      <w:r w:rsidRPr="004D10AA">
        <w:t>Next, the code simulates stock price movements over time using geometric Brownian motion, considering a specified number of simulations, and realized volatility. It then performs dynamic delta hedging simulation for each scenario. For each simulation, the code calculates delta values, determines adjustment actions, computes P&amp;L components, and accumulates interest on adjustments. These steps allow for a comprehensive assessment of the effectiveness of dynamic delta hedging in managing risk associated with options trading.</w:t>
      </w:r>
    </w:p>
    <w:p w14:paraId="65892DC0" w14:textId="77777777" w:rsidR="006C7324" w:rsidRPr="004D10AA" w:rsidRDefault="006C7324" w:rsidP="006C7324">
      <w:pPr>
        <w:jc w:val="both"/>
      </w:pPr>
    </w:p>
    <w:p w14:paraId="34C0B9A3" w14:textId="77777777" w:rsidR="004D10AA" w:rsidRDefault="004D10AA" w:rsidP="006C7324">
      <w:pPr>
        <w:jc w:val="both"/>
      </w:pPr>
      <w:r w:rsidRPr="004D10AA">
        <w:t>The results of the simulations are visualized through histograms, showing the distribution of total cashflows for dynamic delta hedging, static delta hedging, and no hedging strategies. The mean, 5th percentile, and 95th percentile values are marked on the plots to provide insights into the performance of each strategy.</w:t>
      </w:r>
    </w:p>
    <w:p w14:paraId="3A61B82A" w14:textId="77777777" w:rsidR="006C7324" w:rsidRPr="004D10AA" w:rsidRDefault="006C7324" w:rsidP="006C7324">
      <w:pPr>
        <w:jc w:val="both"/>
      </w:pPr>
    </w:p>
    <w:p w14:paraId="4CDC7FCE" w14:textId="697B2C7A" w:rsidR="004D10AA" w:rsidRDefault="004D10AA" w:rsidP="006C7324">
      <w:pPr>
        <w:jc w:val="both"/>
      </w:pPr>
      <w:r w:rsidRPr="004D10AA">
        <w:t>In summary, the code provides a robust framework for analyzing and optimizing options trading strategies. By employing quantitative techniques and simulation-based approaches, it offers valuable insights into the impact of delta hedging on option P&amp;L and overall risk management. It serves as a powerful tool for traders and analysts seeking to enhance their understanding of options trading dynamics and optimize their hedging strategies in dynamic market conditions.</w:t>
      </w:r>
    </w:p>
    <w:p w14:paraId="566BEC80" w14:textId="77777777" w:rsidR="008D7040" w:rsidRDefault="008D7040" w:rsidP="004D10AA"/>
    <w:p w14:paraId="2926FA67" w14:textId="77777777" w:rsidR="006C7324" w:rsidRDefault="006C7324" w:rsidP="004D10AA"/>
    <w:p w14:paraId="40EA00F9" w14:textId="77777777" w:rsidR="006C7324" w:rsidRDefault="006C7324" w:rsidP="004D10AA"/>
    <w:p w14:paraId="257BB77C" w14:textId="77777777" w:rsidR="006C7324" w:rsidRDefault="006C7324" w:rsidP="004D10AA"/>
    <w:p w14:paraId="6BAA4C77" w14:textId="77777777" w:rsidR="006C7324" w:rsidRDefault="006C7324" w:rsidP="004D10AA"/>
    <w:p w14:paraId="7C3429EF" w14:textId="77777777" w:rsidR="006C7324" w:rsidRDefault="006C7324" w:rsidP="004D10AA"/>
    <w:p w14:paraId="59B57487" w14:textId="77777777" w:rsidR="006C7324" w:rsidRDefault="006C7324" w:rsidP="004D10AA"/>
    <w:p w14:paraId="557457AA" w14:textId="77777777" w:rsidR="006C7324" w:rsidRDefault="006C7324" w:rsidP="004D10AA"/>
    <w:p w14:paraId="0E1D7372" w14:textId="77777777" w:rsidR="006C7324" w:rsidRDefault="006C7324" w:rsidP="004D10AA"/>
    <w:p w14:paraId="037FCF6E" w14:textId="77777777" w:rsidR="006C7324" w:rsidRDefault="006C7324" w:rsidP="004D10AA"/>
    <w:p w14:paraId="57DDDD57" w14:textId="77777777" w:rsidR="006C7324" w:rsidRDefault="006C7324" w:rsidP="004D10AA"/>
    <w:p w14:paraId="76CF6BE1" w14:textId="77777777" w:rsidR="006C7324" w:rsidRDefault="006C7324" w:rsidP="004D10AA"/>
    <w:p w14:paraId="063DB52C" w14:textId="3F4E970C" w:rsidR="001161CB" w:rsidRDefault="001161CB" w:rsidP="001161CB">
      <w:pPr>
        <w:pStyle w:val="Heading1"/>
      </w:pPr>
      <w:r>
        <w:lastRenderedPageBreak/>
        <w:t>Delta Hedging</w:t>
      </w:r>
    </w:p>
    <w:p w14:paraId="7FCDC16B" w14:textId="77777777" w:rsidR="006C7324" w:rsidRDefault="006C7324" w:rsidP="006C7324">
      <w:pPr>
        <w:jc w:val="both"/>
        <w:rPr>
          <w:lang w:val="en-GB"/>
        </w:rPr>
      </w:pPr>
    </w:p>
    <w:p w14:paraId="7294B11E" w14:textId="21A631B5" w:rsidR="001161CB" w:rsidRPr="001161CB" w:rsidRDefault="001161CB" w:rsidP="006C7324">
      <w:pPr>
        <w:jc w:val="both"/>
        <w:rPr>
          <w:lang w:val="en-GB"/>
        </w:rPr>
      </w:pPr>
      <w:r w:rsidRPr="001161CB">
        <w:rPr>
          <w:lang w:val="en-GB"/>
        </w:rPr>
        <w:t>Delta hedging is a risk management strategy commonly used in options trading to reduce or eliminate the exposure to changes in the price of the underlying asset. The strategy involves adjusting the portfolio's delta, which represents the sensitivity of the option's price to changes in the underlying asset's price. By continuously adjusting the portfolio's delta to offset changes in the option's price due to changes in the underlying asset's price, delta hedging aims to maintain a neutral position, thereby minimizing the impact of price movements on the portfolio's value.</w:t>
      </w:r>
    </w:p>
    <w:p w14:paraId="2E727B67" w14:textId="77777777" w:rsidR="006C7324" w:rsidRDefault="006C7324" w:rsidP="006C7324">
      <w:pPr>
        <w:jc w:val="both"/>
        <w:rPr>
          <w:b/>
          <w:bCs/>
          <w:lang w:val="en-GB"/>
        </w:rPr>
      </w:pPr>
    </w:p>
    <w:p w14:paraId="4D5BC91A" w14:textId="5586C64E" w:rsidR="001161CB" w:rsidRPr="001161CB" w:rsidRDefault="001161CB" w:rsidP="006C7324">
      <w:pPr>
        <w:jc w:val="both"/>
        <w:rPr>
          <w:b/>
          <w:bCs/>
          <w:lang w:val="en-GB"/>
        </w:rPr>
      </w:pPr>
      <w:r w:rsidRPr="001161CB">
        <w:rPr>
          <w:b/>
          <w:bCs/>
          <w:lang w:val="en-GB"/>
        </w:rPr>
        <w:t>Theory:</w:t>
      </w:r>
    </w:p>
    <w:p w14:paraId="553ED85D" w14:textId="6BE57A30" w:rsidR="001161CB" w:rsidRPr="001161CB" w:rsidRDefault="001161CB" w:rsidP="006C7324">
      <w:pPr>
        <w:jc w:val="both"/>
        <w:rPr>
          <w:lang w:val="en-GB"/>
        </w:rPr>
      </w:pPr>
      <w:r w:rsidRPr="001161CB">
        <w:rPr>
          <w:lang w:val="en-GB"/>
        </w:rPr>
        <w:t>Delta, denoted by Δ, measures the rate of change of the option price with respect to changes in the price of the underlying asset. It represents the slope of the option price curve relative to changes in the underlying asset's price. Delta can be positive or negative, depending on whether the option is a call or put and whether the position is long or short.</w:t>
      </w:r>
    </w:p>
    <w:p w14:paraId="644762CD" w14:textId="77777777" w:rsidR="006C7324" w:rsidRDefault="006C7324" w:rsidP="006C7324">
      <w:pPr>
        <w:jc w:val="both"/>
        <w:rPr>
          <w:lang w:val="en-GB"/>
        </w:rPr>
      </w:pPr>
    </w:p>
    <w:p w14:paraId="66FF5388" w14:textId="78F4D975" w:rsidR="001161CB" w:rsidRPr="001161CB" w:rsidRDefault="001161CB" w:rsidP="006C7324">
      <w:pPr>
        <w:jc w:val="both"/>
        <w:rPr>
          <w:lang w:val="en-GB"/>
        </w:rPr>
      </w:pPr>
      <w:r w:rsidRPr="001161CB">
        <w:rPr>
          <w:lang w:val="en-GB"/>
        </w:rPr>
        <w:t>The Black-Scholes model provides a formula for calculating the delta of a European call or put option:</w:t>
      </w:r>
    </w:p>
    <w:p w14:paraId="6C3469E3" w14:textId="7342EA97" w:rsidR="001161CB" w:rsidRPr="001161CB" w:rsidRDefault="001161CB" w:rsidP="006C7324">
      <w:pPr>
        <w:jc w:val="both"/>
        <w:rPr>
          <w:lang w:val="en-GB"/>
        </w:rPr>
      </w:pPr>
      <w:r w:rsidRPr="001161CB">
        <w:rPr>
          <w:lang w:val="en-GB"/>
        </w:rPr>
        <w:t>For a European call option: Δ=N(d1)</w:t>
      </w:r>
    </w:p>
    <w:p w14:paraId="31CF0F5E" w14:textId="692EA348" w:rsidR="001161CB" w:rsidRPr="001161CB" w:rsidRDefault="001161CB" w:rsidP="006C7324">
      <w:pPr>
        <w:jc w:val="both"/>
        <w:rPr>
          <w:lang w:val="en-GB"/>
        </w:rPr>
      </w:pPr>
      <w:r w:rsidRPr="001161CB">
        <w:rPr>
          <w:lang w:val="en-GB"/>
        </w:rPr>
        <w:t>For a European put option: Δ=N(d1)−1</w:t>
      </w:r>
    </w:p>
    <w:p w14:paraId="6F8D642F" w14:textId="77777777" w:rsidR="001161CB" w:rsidRPr="001161CB" w:rsidRDefault="001161CB" w:rsidP="006C7324">
      <w:pPr>
        <w:jc w:val="both"/>
        <w:rPr>
          <w:lang w:val="en-GB"/>
        </w:rPr>
      </w:pPr>
      <w:r w:rsidRPr="001161CB">
        <w:rPr>
          <w:lang w:val="en-GB"/>
        </w:rPr>
        <w:t>Where:</w:t>
      </w:r>
    </w:p>
    <w:p w14:paraId="1E495384" w14:textId="0A8D8B59" w:rsidR="001161CB" w:rsidRPr="001161CB" w:rsidRDefault="001161CB" w:rsidP="006C7324">
      <w:pPr>
        <w:numPr>
          <w:ilvl w:val="0"/>
          <w:numId w:val="14"/>
        </w:numPr>
        <w:jc w:val="both"/>
        <w:rPr>
          <w:lang w:val="en-GB"/>
        </w:rPr>
      </w:pPr>
      <w:r w:rsidRPr="001161CB">
        <w:rPr>
          <w:lang w:val="en-GB"/>
        </w:rPr>
        <w:t>N(</w:t>
      </w:r>
      <w:r w:rsidRPr="001161CB">
        <w:rPr>
          <w:rFonts w:ascii="Cambria Math" w:hAnsi="Cambria Math" w:cs="Cambria Math"/>
          <w:lang w:val="en-GB"/>
        </w:rPr>
        <w:t>⋅</w:t>
      </w:r>
      <w:r w:rsidRPr="001161CB">
        <w:rPr>
          <w:lang w:val="en-GB"/>
        </w:rPr>
        <w:t>)</w:t>
      </w:r>
      <w:r w:rsidR="006C7324">
        <w:rPr>
          <w:i/>
          <w:iCs/>
          <w:lang w:val="en-GB"/>
        </w:rPr>
        <w:t xml:space="preserve"> </w:t>
      </w:r>
      <w:r w:rsidRPr="001161CB">
        <w:rPr>
          <w:lang w:val="en-GB"/>
        </w:rPr>
        <w:t>is the cumulative distribution function of the standard normal distribution.</w:t>
      </w:r>
    </w:p>
    <w:p w14:paraId="7E15ACEA" w14:textId="50A794ED" w:rsidR="001161CB" w:rsidRPr="001161CB" w:rsidRDefault="001161CB" w:rsidP="006C7324">
      <w:pPr>
        <w:numPr>
          <w:ilvl w:val="0"/>
          <w:numId w:val="14"/>
        </w:numPr>
        <w:jc w:val="both"/>
        <w:rPr>
          <w:lang w:val="en-GB"/>
        </w:rPr>
      </w:pPr>
      <w:r w:rsidRPr="001161CB">
        <w:rPr>
          <w:i/>
          <w:iCs/>
          <w:lang w:val="en-GB"/>
        </w:rPr>
        <w:t>d</w:t>
      </w:r>
      <w:r w:rsidRPr="001161CB">
        <w:rPr>
          <w:lang w:val="en-GB"/>
        </w:rPr>
        <w:t>1</w:t>
      </w:r>
      <w:r w:rsidRPr="001161CB">
        <w:rPr>
          <w:rFonts w:ascii="Arial" w:hAnsi="Arial" w:cs="Arial"/>
          <w:lang w:val="en-GB"/>
        </w:rPr>
        <w:t>​</w:t>
      </w:r>
      <w:r w:rsidRPr="001161CB">
        <w:rPr>
          <w:lang w:val="en-GB"/>
        </w:rPr>
        <w:t xml:space="preserve"> is the standardized risk-adjusted term in the Black-Scholes formula</w:t>
      </w:r>
    </w:p>
    <w:p w14:paraId="2A04673C" w14:textId="77777777" w:rsidR="006C7324" w:rsidRDefault="006C7324" w:rsidP="006C7324">
      <w:pPr>
        <w:jc w:val="both"/>
        <w:rPr>
          <w:b/>
          <w:bCs/>
          <w:lang w:val="en-GB"/>
        </w:rPr>
      </w:pPr>
    </w:p>
    <w:p w14:paraId="6BA1D9D5" w14:textId="194FEB59" w:rsidR="001161CB" w:rsidRPr="001161CB" w:rsidRDefault="001161CB" w:rsidP="006C7324">
      <w:pPr>
        <w:jc w:val="both"/>
        <w:rPr>
          <w:b/>
          <w:bCs/>
          <w:lang w:val="en-GB"/>
        </w:rPr>
      </w:pPr>
      <w:r w:rsidRPr="001161CB">
        <w:rPr>
          <w:b/>
          <w:bCs/>
          <w:lang w:val="en-GB"/>
        </w:rPr>
        <w:t>References:</w:t>
      </w:r>
    </w:p>
    <w:p w14:paraId="3B2EA0E3" w14:textId="77777777" w:rsidR="001161CB" w:rsidRPr="001161CB" w:rsidRDefault="001161CB" w:rsidP="006C7324">
      <w:pPr>
        <w:numPr>
          <w:ilvl w:val="0"/>
          <w:numId w:val="16"/>
        </w:numPr>
        <w:jc w:val="both"/>
        <w:rPr>
          <w:lang w:val="en-GB"/>
        </w:rPr>
      </w:pPr>
      <w:r w:rsidRPr="001161CB">
        <w:rPr>
          <w:lang w:val="en-GB"/>
        </w:rPr>
        <w:t>Black, F., &amp; Scholes, M. (1973). The Pricing of Options and Corporate Liabilities. Journal of Political Economy, 81(3), 637–654. DOI: 10.1086/260062</w:t>
      </w:r>
    </w:p>
    <w:p w14:paraId="06DEFC82" w14:textId="77777777" w:rsidR="001161CB" w:rsidRPr="001161CB" w:rsidRDefault="001161CB" w:rsidP="006C7324">
      <w:pPr>
        <w:numPr>
          <w:ilvl w:val="0"/>
          <w:numId w:val="16"/>
        </w:numPr>
        <w:jc w:val="both"/>
        <w:rPr>
          <w:lang w:val="en-GB"/>
        </w:rPr>
      </w:pPr>
      <w:r w:rsidRPr="001161CB">
        <w:rPr>
          <w:lang w:val="en-GB"/>
        </w:rPr>
        <w:t>Hull, J. C. (2018). Options, Futures, and Other Derivatives (10th Edition). Pearson.</w:t>
      </w:r>
    </w:p>
    <w:p w14:paraId="3389CB1D" w14:textId="77777777" w:rsidR="001161CB" w:rsidRPr="001161CB" w:rsidRDefault="001161CB" w:rsidP="006C7324">
      <w:pPr>
        <w:numPr>
          <w:ilvl w:val="0"/>
          <w:numId w:val="16"/>
        </w:numPr>
        <w:jc w:val="both"/>
        <w:rPr>
          <w:lang w:val="en-GB"/>
        </w:rPr>
      </w:pPr>
      <w:r w:rsidRPr="001161CB">
        <w:rPr>
          <w:lang w:val="en-GB"/>
        </w:rPr>
        <w:t>McDonald, R. (2014). Derivatives Markets (3rd Edition). Pearson.</w:t>
      </w:r>
    </w:p>
    <w:p w14:paraId="025016C9" w14:textId="77777777" w:rsidR="006C7324" w:rsidRDefault="006C7324" w:rsidP="006C7324">
      <w:pPr>
        <w:jc w:val="both"/>
        <w:rPr>
          <w:lang w:val="en-GB"/>
        </w:rPr>
      </w:pPr>
    </w:p>
    <w:p w14:paraId="32598A54" w14:textId="5C59F670" w:rsidR="001161CB" w:rsidRPr="006C7324" w:rsidRDefault="001161CB" w:rsidP="006C7324">
      <w:pPr>
        <w:jc w:val="both"/>
        <w:rPr>
          <w:lang w:val="en-GB"/>
        </w:rPr>
      </w:pPr>
      <w:r w:rsidRPr="001161CB">
        <w:rPr>
          <w:lang w:val="en-GB"/>
        </w:rPr>
        <w:t>Delta hedging involves adjusting the delta of the option position by buying or selling the underlying asset to maintain a delta-neutral position. This strategy helps traders manage the risk associated with changes in the underlying asset's price and is a fundamental aspect of options trading.</w:t>
      </w:r>
    </w:p>
    <w:sectPr w:rsidR="001161CB" w:rsidRPr="006C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C33"/>
    <w:multiLevelType w:val="multilevel"/>
    <w:tmpl w:val="8056C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A47CC"/>
    <w:multiLevelType w:val="multilevel"/>
    <w:tmpl w:val="3AF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6289F"/>
    <w:multiLevelType w:val="multilevel"/>
    <w:tmpl w:val="26C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74C59"/>
    <w:multiLevelType w:val="multilevel"/>
    <w:tmpl w:val="631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B4AB5"/>
    <w:multiLevelType w:val="multilevel"/>
    <w:tmpl w:val="6F2A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502C1"/>
    <w:multiLevelType w:val="multilevel"/>
    <w:tmpl w:val="B50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41598"/>
    <w:multiLevelType w:val="multilevel"/>
    <w:tmpl w:val="1F0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C254A"/>
    <w:multiLevelType w:val="multilevel"/>
    <w:tmpl w:val="A52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50ACE"/>
    <w:multiLevelType w:val="multilevel"/>
    <w:tmpl w:val="43C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27C45"/>
    <w:multiLevelType w:val="multilevel"/>
    <w:tmpl w:val="858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1390B"/>
    <w:multiLevelType w:val="multilevel"/>
    <w:tmpl w:val="2BB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11D30"/>
    <w:multiLevelType w:val="multilevel"/>
    <w:tmpl w:val="F37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16B1F"/>
    <w:multiLevelType w:val="multilevel"/>
    <w:tmpl w:val="C4CA2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E7361"/>
    <w:multiLevelType w:val="multilevel"/>
    <w:tmpl w:val="2AB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D143E"/>
    <w:multiLevelType w:val="multilevel"/>
    <w:tmpl w:val="995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B3FFE"/>
    <w:multiLevelType w:val="multilevel"/>
    <w:tmpl w:val="502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8700F"/>
    <w:multiLevelType w:val="multilevel"/>
    <w:tmpl w:val="8188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512395">
    <w:abstractNumId w:val="6"/>
  </w:num>
  <w:num w:numId="2" w16cid:durableId="1072001284">
    <w:abstractNumId w:val="16"/>
  </w:num>
  <w:num w:numId="3" w16cid:durableId="1118331166">
    <w:abstractNumId w:val="5"/>
  </w:num>
  <w:num w:numId="4" w16cid:durableId="2024238423">
    <w:abstractNumId w:val="1"/>
  </w:num>
  <w:num w:numId="5" w16cid:durableId="305166392">
    <w:abstractNumId w:val="7"/>
  </w:num>
  <w:num w:numId="6" w16cid:durableId="728312006">
    <w:abstractNumId w:val="10"/>
  </w:num>
  <w:num w:numId="7" w16cid:durableId="1922519821">
    <w:abstractNumId w:val="14"/>
  </w:num>
  <w:num w:numId="8" w16cid:durableId="1158688056">
    <w:abstractNumId w:val="9"/>
  </w:num>
  <w:num w:numId="9" w16cid:durableId="1415779740">
    <w:abstractNumId w:val="3"/>
  </w:num>
  <w:num w:numId="10" w16cid:durableId="710612635">
    <w:abstractNumId w:val="11"/>
  </w:num>
  <w:num w:numId="11" w16cid:durableId="1954705279">
    <w:abstractNumId w:val="4"/>
  </w:num>
  <w:num w:numId="12" w16cid:durableId="481121297">
    <w:abstractNumId w:val="13"/>
  </w:num>
  <w:num w:numId="13" w16cid:durableId="1781995527">
    <w:abstractNumId w:val="2"/>
  </w:num>
  <w:num w:numId="14" w16cid:durableId="1933397626">
    <w:abstractNumId w:val="8"/>
  </w:num>
  <w:num w:numId="15" w16cid:durableId="867790905">
    <w:abstractNumId w:val="12"/>
  </w:num>
  <w:num w:numId="16" w16cid:durableId="1263491291">
    <w:abstractNumId w:val="15"/>
  </w:num>
  <w:num w:numId="17" w16cid:durableId="76029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3A"/>
    <w:rsid w:val="00024AF5"/>
    <w:rsid w:val="001161CB"/>
    <w:rsid w:val="00163F1A"/>
    <w:rsid w:val="00197E03"/>
    <w:rsid w:val="004D10AA"/>
    <w:rsid w:val="005733D2"/>
    <w:rsid w:val="005D13EC"/>
    <w:rsid w:val="006C7324"/>
    <w:rsid w:val="006F4501"/>
    <w:rsid w:val="00765D3A"/>
    <w:rsid w:val="008D7040"/>
    <w:rsid w:val="008E566A"/>
    <w:rsid w:val="00AC700A"/>
    <w:rsid w:val="00C838E4"/>
    <w:rsid w:val="00E5174C"/>
    <w:rsid w:val="00EC3EA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6555E0B9"/>
  <w15:chartTrackingRefBased/>
  <w15:docId w15:val="{7135D4F8-8DEC-5144-A171-CE98844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GB"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US"/>
    </w:rPr>
  </w:style>
  <w:style w:type="paragraph" w:styleId="Heading1">
    <w:name w:val="heading 1"/>
    <w:basedOn w:val="Normal"/>
    <w:next w:val="Normal"/>
    <w:link w:val="Heading1Char"/>
    <w:uiPriority w:val="9"/>
    <w:qFormat/>
    <w:rsid w:val="00765D3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65D3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65D3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65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D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D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D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D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3A"/>
    <w:rPr>
      <w:rFonts w:asciiTheme="majorHAnsi" w:eastAsiaTheme="majorEastAsia" w:hAnsiTheme="majorHAnsi" w:cstheme="majorBidi"/>
      <w:color w:val="0F4761" w:themeColor="accent1" w:themeShade="BF"/>
      <w:sz w:val="40"/>
      <w:szCs w:val="36"/>
      <w:lang w:val="en-US"/>
    </w:rPr>
  </w:style>
  <w:style w:type="character" w:customStyle="1" w:styleId="Heading2Char">
    <w:name w:val="Heading 2 Char"/>
    <w:basedOn w:val="DefaultParagraphFont"/>
    <w:link w:val="Heading2"/>
    <w:uiPriority w:val="9"/>
    <w:semiHidden/>
    <w:rsid w:val="00765D3A"/>
    <w:rPr>
      <w:rFonts w:asciiTheme="majorHAnsi" w:eastAsiaTheme="majorEastAsia" w:hAnsiTheme="majorHAnsi" w:cstheme="majorBidi"/>
      <w:color w:val="0F4761" w:themeColor="accent1" w:themeShade="BF"/>
      <w:sz w:val="32"/>
      <w:szCs w:val="29"/>
      <w:lang w:val="en-US"/>
    </w:rPr>
  </w:style>
  <w:style w:type="character" w:customStyle="1" w:styleId="Heading3Char">
    <w:name w:val="Heading 3 Char"/>
    <w:basedOn w:val="DefaultParagraphFont"/>
    <w:link w:val="Heading3"/>
    <w:uiPriority w:val="9"/>
    <w:semiHidden/>
    <w:rsid w:val="00765D3A"/>
    <w:rPr>
      <w:rFonts w:eastAsiaTheme="majorEastAsia" w:cstheme="majorBidi"/>
      <w:color w:val="0F4761" w:themeColor="accent1" w:themeShade="BF"/>
      <w:sz w:val="28"/>
      <w:szCs w:val="25"/>
      <w:lang w:val="en-US"/>
    </w:rPr>
  </w:style>
  <w:style w:type="character" w:customStyle="1" w:styleId="Heading4Char">
    <w:name w:val="Heading 4 Char"/>
    <w:basedOn w:val="DefaultParagraphFont"/>
    <w:link w:val="Heading4"/>
    <w:uiPriority w:val="9"/>
    <w:semiHidden/>
    <w:rsid w:val="00765D3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65D3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65D3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65D3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65D3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65D3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65D3A"/>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65D3A"/>
    <w:rPr>
      <w:rFonts w:asciiTheme="majorHAnsi" w:eastAsiaTheme="majorEastAsia" w:hAnsiTheme="majorHAnsi" w:cstheme="majorBidi"/>
      <w:spacing w:val="-10"/>
      <w:kern w:val="28"/>
      <w:sz w:val="56"/>
      <w:szCs w:val="50"/>
      <w:lang w:val="en-US"/>
    </w:rPr>
  </w:style>
  <w:style w:type="paragraph" w:styleId="Subtitle">
    <w:name w:val="Subtitle"/>
    <w:basedOn w:val="Normal"/>
    <w:next w:val="Normal"/>
    <w:link w:val="SubtitleChar"/>
    <w:uiPriority w:val="11"/>
    <w:qFormat/>
    <w:rsid w:val="00765D3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65D3A"/>
    <w:rPr>
      <w:rFonts w:eastAsiaTheme="majorEastAsia" w:cstheme="majorBidi"/>
      <w:color w:val="595959" w:themeColor="text1" w:themeTint="A6"/>
      <w:spacing w:val="15"/>
      <w:sz w:val="28"/>
      <w:szCs w:val="25"/>
      <w:lang w:val="en-US"/>
    </w:rPr>
  </w:style>
  <w:style w:type="paragraph" w:styleId="Quote">
    <w:name w:val="Quote"/>
    <w:basedOn w:val="Normal"/>
    <w:next w:val="Normal"/>
    <w:link w:val="QuoteChar"/>
    <w:uiPriority w:val="29"/>
    <w:qFormat/>
    <w:rsid w:val="00765D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5D3A"/>
    <w:rPr>
      <w:rFonts w:cs="Mangal"/>
      <w:i/>
      <w:iCs/>
      <w:color w:val="404040" w:themeColor="text1" w:themeTint="BF"/>
      <w:lang w:val="en-US"/>
    </w:rPr>
  </w:style>
  <w:style w:type="paragraph" w:styleId="ListParagraph">
    <w:name w:val="List Paragraph"/>
    <w:basedOn w:val="Normal"/>
    <w:uiPriority w:val="34"/>
    <w:qFormat/>
    <w:rsid w:val="00765D3A"/>
    <w:pPr>
      <w:ind w:left="720"/>
      <w:contextualSpacing/>
    </w:pPr>
  </w:style>
  <w:style w:type="character" w:styleId="IntenseEmphasis">
    <w:name w:val="Intense Emphasis"/>
    <w:basedOn w:val="DefaultParagraphFont"/>
    <w:uiPriority w:val="21"/>
    <w:qFormat/>
    <w:rsid w:val="00765D3A"/>
    <w:rPr>
      <w:i/>
      <w:iCs/>
      <w:color w:val="0F4761" w:themeColor="accent1" w:themeShade="BF"/>
    </w:rPr>
  </w:style>
  <w:style w:type="paragraph" w:styleId="IntenseQuote">
    <w:name w:val="Intense Quote"/>
    <w:basedOn w:val="Normal"/>
    <w:next w:val="Normal"/>
    <w:link w:val="IntenseQuoteChar"/>
    <w:uiPriority w:val="30"/>
    <w:qFormat/>
    <w:rsid w:val="00765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D3A"/>
    <w:rPr>
      <w:rFonts w:cs="Mangal"/>
      <w:i/>
      <w:iCs/>
      <w:color w:val="0F4761" w:themeColor="accent1" w:themeShade="BF"/>
      <w:lang w:val="en-US"/>
    </w:rPr>
  </w:style>
  <w:style w:type="character" w:styleId="IntenseReference">
    <w:name w:val="Intense Reference"/>
    <w:basedOn w:val="DefaultParagraphFont"/>
    <w:uiPriority w:val="32"/>
    <w:qFormat/>
    <w:rsid w:val="00765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89">
      <w:bodyDiv w:val="1"/>
      <w:marLeft w:val="0"/>
      <w:marRight w:val="0"/>
      <w:marTop w:val="0"/>
      <w:marBottom w:val="0"/>
      <w:divBdr>
        <w:top w:val="none" w:sz="0" w:space="0" w:color="auto"/>
        <w:left w:val="none" w:sz="0" w:space="0" w:color="auto"/>
        <w:bottom w:val="none" w:sz="0" w:space="0" w:color="auto"/>
        <w:right w:val="none" w:sz="0" w:space="0" w:color="auto"/>
      </w:divBdr>
    </w:div>
    <w:div w:id="45373758">
      <w:bodyDiv w:val="1"/>
      <w:marLeft w:val="0"/>
      <w:marRight w:val="0"/>
      <w:marTop w:val="0"/>
      <w:marBottom w:val="0"/>
      <w:divBdr>
        <w:top w:val="none" w:sz="0" w:space="0" w:color="auto"/>
        <w:left w:val="none" w:sz="0" w:space="0" w:color="auto"/>
        <w:bottom w:val="none" w:sz="0" w:space="0" w:color="auto"/>
        <w:right w:val="none" w:sz="0" w:space="0" w:color="auto"/>
      </w:divBdr>
    </w:div>
    <w:div w:id="99180293">
      <w:bodyDiv w:val="1"/>
      <w:marLeft w:val="0"/>
      <w:marRight w:val="0"/>
      <w:marTop w:val="0"/>
      <w:marBottom w:val="0"/>
      <w:divBdr>
        <w:top w:val="none" w:sz="0" w:space="0" w:color="auto"/>
        <w:left w:val="none" w:sz="0" w:space="0" w:color="auto"/>
        <w:bottom w:val="none" w:sz="0" w:space="0" w:color="auto"/>
        <w:right w:val="none" w:sz="0" w:space="0" w:color="auto"/>
      </w:divBdr>
    </w:div>
    <w:div w:id="149375150">
      <w:bodyDiv w:val="1"/>
      <w:marLeft w:val="0"/>
      <w:marRight w:val="0"/>
      <w:marTop w:val="0"/>
      <w:marBottom w:val="0"/>
      <w:divBdr>
        <w:top w:val="none" w:sz="0" w:space="0" w:color="auto"/>
        <w:left w:val="none" w:sz="0" w:space="0" w:color="auto"/>
        <w:bottom w:val="none" w:sz="0" w:space="0" w:color="auto"/>
        <w:right w:val="none" w:sz="0" w:space="0" w:color="auto"/>
      </w:divBdr>
    </w:div>
    <w:div w:id="169762928">
      <w:bodyDiv w:val="1"/>
      <w:marLeft w:val="0"/>
      <w:marRight w:val="0"/>
      <w:marTop w:val="0"/>
      <w:marBottom w:val="0"/>
      <w:divBdr>
        <w:top w:val="none" w:sz="0" w:space="0" w:color="auto"/>
        <w:left w:val="none" w:sz="0" w:space="0" w:color="auto"/>
        <w:bottom w:val="none" w:sz="0" w:space="0" w:color="auto"/>
        <w:right w:val="none" w:sz="0" w:space="0" w:color="auto"/>
      </w:divBdr>
    </w:div>
    <w:div w:id="194778669">
      <w:bodyDiv w:val="1"/>
      <w:marLeft w:val="0"/>
      <w:marRight w:val="0"/>
      <w:marTop w:val="0"/>
      <w:marBottom w:val="0"/>
      <w:divBdr>
        <w:top w:val="none" w:sz="0" w:space="0" w:color="auto"/>
        <w:left w:val="none" w:sz="0" w:space="0" w:color="auto"/>
        <w:bottom w:val="none" w:sz="0" w:space="0" w:color="auto"/>
        <w:right w:val="none" w:sz="0" w:space="0" w:color="auto"/>
      </w:divBdr>
    </w:div>
    <w:div w:id="250478895">
      <w:bodyDiv w:val="1"/>
      <w:marLeft w:val="0"/>
      <w:marRight w:val="0"/>
      <w:marTop w:val="0"/>
      <w:marBottom w:val="0"/>
      <w:divBdr>
        <w:top w:val="none" w:sz="0" w:space="0" w:color="auto"/>
        <w:left w:val="none" w:sz="0" w:space="0" w:color="auto"/>
        <w:bottom w:val="none" w:sz="0" w:space="0" w:color="auto"/>
        <w:right w:val="none" w:sz="0" w:space="0" w:color="auto"/>
      </w:divBdr>
    </w:div>
    <w:div w:id="410784641">
      <w:bodyDiv w:val="1"/>
      <w:marLeft w:val="0"/>
      <w:marRight w:val="0"/>
      <w:marTop w:val="0"/>
      <w:marBottom w:val="0"/>
      <w:divBdr>
        <w:top w:val="none" w:sz="0" w:space="0" w:color="auto"/>
        <w:left w:val="none" w:sz="0" w:space="0" w:color="auto"/>
        <w:bottom w:val="none" w:sz="0" w:space="0" w:color="auto"/>
        <w:right w:val="none" w:sz="0" w:space="0" w:color="auto"/>
      </w:divBdr>
    </w:div>
    <w:div w:id="502667509">
      <w:bodyDiv w:val="1"/>
      <w:marLeft w:val="0"/>
      <w:marRight w:val="0"/>
      <w:marTop w:val="0"/>
      <w:marBottom w:val="0"/>
      <w:divBdr>
        <w:top w:val="none" w:sz="0" w:space="0" w:color="auto"/>
        <w:left w:val="none" w:sz="0" w:space="0" w:color="auto"/>
        <w:bottom w:val="none" w:sz="0" w:space="0" w:color="auto"/>
        <w:right w:val="none" w:sz="0" w:space="0" w:color="auto"/>
      </w:divBdr>
    </w:div>
    <w:div w:id="590087929">
      <w:bodyDiv w:val="1"/>
      <w:marLeft w:val="0"/>
      <w:marRight w:val="0"/>
      <w:marTop w:val="0"/>
      <w:marBottom w:val="0"/>
      <w:divBdr>
        <w:top w:val="none" w:sz="0" w:space="0" w:color="auto"/>
        <w:left w:val="none" w:sz="0" w:space="0" w:color="auto"/>
        <w:bottom w:val="none" w:sz="0" w:space="0" w:color="auto"/>
        <w:right w:val="none" w:sz="0" w:space="0" w:color="auto"/>
      </w:divBdr>
    </w:div>
    <w:div w:id="618145861">
      <w:bodyDiv w:val="1"/>
      <w:marLeft w:val="0"/>
      <w:marRight w:val="0"/>
      <w:marTop w:val="0"/>
      <w:marBottom w:val="0"/>
      <w:divBdr>
        <w:top w:val="none" w:sz="0" w:space="0" w:color="auto"/>
        <w:left w:val="none" w:sz="0" w:space="0" w:color="auto"/>
        <w:bottom w:val="none" w:sz="0" w:space="0" w:color="auto"/>
        <w:right w:val="none" w:sz="0" w:space="0" w:color="auto"/>
      </w:divBdr>
    </w:div>
    <w:div w:id="620111306">
      <w:bodyDiv w:val="1"/>
      <w:marLeft w:val="0"/>
      <w:marRight w:val="0"/>
      <w:marTop w:val="0"/>
      <w:marBottom w:val="0"/>
      <w:divBdr>
        <w:top w:val="none" w:sz="0" w:space="0" w:color="auto"/>
        <w:left w:val="none" w:sz="0" w:space="0" w:color="auto"/>
        <w:bottom w:val="none" w:sz="0" w:space="0" w:color="auto"/>
        <w:right w:val="none" w:sz="0" w:space="0" w:color="auto"/>
      </w:divBdr>
    </w:div>
    <w:div w:id="627590392">
      <w:bodyDiv w:val="1"/>
      <w:marLeft w:val="0"/>
      <w:marRight w:val="0"/>
      <w:marTop w:val="0"/>
      <w:marBottom w:val="0"/>
      <w:divBdr>
        <w:top w:val="none" w:sz="0" w:space="0" w:color="auto"/>
        <w:left w:val="none" w:sz="0" w:space="0" w:color="auto"/>
        <w:bottom w:val="none" w:sz="0" w:space="0" w:color="auto"/>
        <w:right w:val="none" w:sz="0" w:space="0" w:color="auto"/>
      </w:divBdr>
    </w:div>
    <w:div w:id="763185289">
      <w:bodyDiv w:val="1"/>
      <w:marLeft w:val="0"/>
      <w:marRight w:val="0"/>
      <w:marTop w:val="0"/>
      <w:marBottom w:val="0"/>
      <w:divBdr>
        <w:top w:val="none" w:sz="0" w:space="0" w:color="auto"/>
        <w:left w:val="none" w:sz="0" w:space="0" w:color="auto"/>
        <w:bottom w:val="none" w:sz="0" w:space="0" w:color="auto"/>
        <w:right w:val="none" w:sz="0" w:space="0" w:color="auto"/>
      </w:divBdr>
    </w:div>
    <w:div w:id="814953998">
      <w:bodyDiv w:val="1"/>
      <w:marLeft w:val="0"/>
      <w:marRight w:val="0"/>
      <w:marTop w:val="0"/>
      <w:marBottom w:val="0"/>
      <w:divBdr>
        <w:top w:val="none" w:sz="0" w:space="0" w:color="auto"/>
        <w:left w:val="none" w:sz="0" w:space="0" w:color="auto"/>
        <w:bottom w:val="none" w:sz="0" w:space="0" w:color="auto"/>
        <w:right w:val="none" w:sz="0" w:space="0" w:color="auto"/>
      </w:divBdr>
    </w:div>
    <w:div w:id="1105733951">
      <w:bodyDiv w:val="1"/>
      <w:marLeft w:val="0"/>
      <w:marRight w:val="0"/>
      <w:marTop w:val="0"/>
      <w:marBottom w:val="0"/>
      <w:divBdr>
        <w:top w:val="none" w:sz="0" w:space="0" w:color="auto"/>
        <w:left w:val="none" w:sz="0" w:space="0" w:color="auto"/>
        <w:bottom w:val="none" w:sz="0" w:space="0" w:color="auto"/>
        <w:right w:val="none" w:sz="0" w:space="0" w:color="auto"/>
      </w:divBdr>
    </w:div>
    <w:div w:id="1127237388">
      <w:bodyDiv w:val="1"/>
      <w:marLeft w:val="0"/>
      <w:marRight w:val="0"/>
      <w:marTop w:val="0"/>
      <w:marBottom w:val="0"/>
      <w:divBdr>
        <w:top w:val="none" w:sz="0" w:space="0" w:color="auto"/>
        <w:left w:val="none" w:sz="0" w:space="0" w:color="auto"/>
        <w:bottom w:val="none" w:sz="0" w:space="0" w:color="auto"/>
        <w:right w:val="none" w:sz="0" w:space="0" w:color="auto"/>
      </w:divBdr>
    </w:div>
    <w:div w:id="1178277394">
      <w:bodyDiv w:val="1"/>
      <w:marLeft w:val="0"/>
      <w:marRight w:val="0"/>
      <w:marTop w:val="0"/>
      <w:marBottom w:val="0"/>
      <w:divBdr>
        <w:top w:val="none" w:sz="0" w:space="0" w:color="auto"/>
        <w:left w:val="none" w:sz="0" w:space="0" w:color="auto"/>
        <w:bottom w:val="none" w:sz="0" w:space="0" w:color="auto"/>
        <w:right w:val="none" w:sz="0" w:space="0" w:color="auto"/>
      </w:divBdr>
    </w:div>
    <w:div w:id="1327049569">
      <w:bodyDiv w:val="1"/>
      <w:marLeft w:val="0"/>
      <w:marRight w:val="0"/>
      <w:marTop w:val="0"/>
      <w:marBottom w:val="0"/>
      <w:divBdr>
        <w:top w:val="none" w:sz="0" w:space="0" w:color="auto"/>
        <w:left w:val="none" w:sz="0" w:space="0" w:color="auto"/>
        <w:bottom w:val="none" w:sz="0" w:space="0" w:color="auto"/>
        <w:right w:val="none" w:sz="0" w:space="0" w:color="auto"/>
      </w:divBdr>
    </w:div>
    <w:div w:id="1490167739">
      <w:bodyDiv w:val="1"/>
      <w:marLeft w:val="0"/>
      <w:marRight w:val="0"/>
      <w:marTop w:val="0"/>
      <w:marBottom w:val="0"/>
      <w:divBdr>
        <w:top w:val="none" w:sz="0" w:space="0" w:color="auto"/>
        <w:left w:val="none" w:sz="0" w:space="0" w:color="auto"/>
        <w:bottom w:val="none" w:sz="0" w:space="0" w:color="auto"/>
        <w:right w:val="none" w:sz="0" w:space="0" w:color="auto"/>
      </w:divBdr>
    </w:div>
    <w:div w:id="1603147899">
      <w:bodyDiv w:val="1"/>
      <w:marLeft w:val="0"/>
      <w:marRight w:val="0"/>
      <w:marTop w:val="0"/>
      <w:marBottom w:val="0"/>
      <w:divBdr>
        <w:top w:val="none" w:sz="0" w:space="0" w:color="auto"/>
        <w:left w:val="none" w:sz="0" w:space="0" w:color="auto"/>
        <w:bottom w:val="none" w:sz="0" w:space="0" w:color="auto"/>
        <w:right w:val="none" w:sz="0" w:space="0" w:color="auto"/>
      </w:divBdr>
    </w:div>
    <w:div w:id="1620800529">
      <w:bodyDiv w:val="1"/>
      <w:marLeft w:val="0"/>
      <w:marRight w:val="0"/>
      <w:marTop w:val="0"/>
      <w:marBottom w:val="0"/>
      <w:divBdr>
        <w:top w:val="none" w:sz="0" w:space="0" w:color="auto"/>
        <w:left w:val="none" w:sz="0" w:space="0" w:color="auto"/>
        <w:bottom w:val="none" w:sz="0" w:space="0" w:color="auto"/>
        <w:right w:val="none" w:sz="0" w:space="0" w:color="auto"/>
      </w:divBdr>
    </w:div>
    <w:div w:id="1706176685">
      <w:bodyDiv w:val="1"/>
      <w:marLeft w:val="0"/>
      <w:marRight w:val="0"/>
      <w:marTop w:val="0"/>
      <w:marBottom w:val="0"/>
      <w:divBdr>
        <w:top w:val="none" w:sz="0" w:space="0" w:color="auto"/>
        <w:left w:val="none" w:sz="0" w:space="0" w:color="auto"/>
        <w:bottom w:val="none" w:sz="0" w:space="0" w:color="auto"/>
        <w:right w:val="none" w:sz="0" w:space="0" w:color="auto"/>
      </w:divBdr>
    </w:div>
    <w:div w:id="1716812064">
      <w:bodyDiv w:val="1"/>
      <w:marLeft w:val="0"/>
      <w:marRight w:val="0"/>
      <w:marTop w:val="0"/>
      <w:marBottom w:val="0"/>
      <w:divBdr>
        <w:top w:val="none" w:sz="0" w:space="0" w:color="auto"/>
        <w:left w:val="none" w:sz="0" w:space="0" w:color="auto"/>
        <w:bottom w:val="none" w:sz="0" w:space="0" w:color="auto"/>
        <w:right w:val="none" w:sz="0" w:space="0" w:color="auto"/>
      </w:divBdr>
    </w:div>
    <w:div w:id="1734622783">
      <w:bodyDiv w:val="1"/>
      <w:marLeft w:val="0"/>
      <w:marRight w:val="0"/>
      <w:marTop w:val="0"/>
      <w:marBottom w:val="0"/>
      <w:divBdr>
        <w:top w:val="none" w:sz="0" w:space="0" w:color="auto"/>
        <w:left w:val="none" w:sz="0" w:space="0" w:color="auto"/>
        <w:bottom w:val="none" w:sz="0" w:space="0" w:color="auto"/>
        <w:right w:val="none" w:sz="0" w:space="0" w:color="auto"/>
      </w:divBdr>
    </w:div>
    <w:div w:id="1900823556">
      <w:bodyDiv w:val="1"/>
      <w:marLeft w:val="0"/>
      <w:marRight w:val="0"/>
      <w:marTop w:val="0"/>
      <w:marBottom w:val="0"/>
      <w:divBdr>
        <w:top w:val="none" w:sz="0" w:space="0" w:color="auto"/>
        <w:left w:val="none" w:sz="0" w:space="0" w:color="auto"/>
        <w:bottom w:val="none" w:sz="0" w:space="0" w:color="auto"/>
        <w:right w:val="none" w:sz="0" w:space="0" w:color="auto"/>
      </w:divBdr>
    </w:div>
    <w:div w:id="1919123189">
      <w:bodyDiv w:val="1"/>
      <w:marLeft w:val="0"/>
      <w:marRight w:val="0"/>
      <w:marTop w:val="0"/>
      <w:marBottom w:val="0"/>
      <w:divBdr>
        <w:top w:val="none" w:sz="0" w:space="0" w:color="auto"/>
        <w:left w:val="none" w:sz="0" w:space="0" w:color="auto"/>
        <w:bottom w:val="none" w:sz="0" w:space="0" w:color="auto"/>
        <w:right w:val="none" w:sz="0" w:space="0" w:color="auto"/>
      </w:divBdr>
    </w:div>
    <w:div w:id="1997758219">
      <w:bodyDiv w:val="1"/>
      <w:marLeft w:val="0"/>
      <w:marRight w:val="0"/>
      <w:marTop w:val="0"/>
      <w:marBottom w:val="0"/>
      <w:divBdr>
        <w:top w:val="none" w:sz="0" w:space="0" w:color="auto"/>
        <w:left w:val="none" w:sz="0" w:space="0" w:color="auto"/>
        <w:bottom w:val="none" w:sz="0" w:space="0" w:color="auto"/>
        <w:right w:val="none" w:sz="0" w:space="0" w:color="auto"/>
      </w:divBdr>
    </w:div>
    <w:div w:id="20079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Jagdish Chauhan</dc:creator>
  <cp:keywords/>
  <dc:description/>
  <cp:lastModifiedBy>Aditya Jagdish Chauhan</cp:lastModifiedBy>
  <cp:revision>3</cp:revision>
  <dcterms:created xsi:type="dcterms:W3CDTF">2024-03-21T22:46:00Z</dcterms:created>
  <dcterms:modified xsi:type="dcterms:W3CDTF">2024-04-19T03:53:00Z</dcterms:modified>
</cp:coreProperties>
</file>