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A2540"/>
          <w:sz w:val="44"/>
        </w:rPr>
        <w:t>NEUROSHIELD DESKTOP SECURITY SYSTEM</w:t>
      </w:r>
    </w:p>
    <w:p>
      <w:pPr>
        <w:spacing w:before="0" w:after="240"/>
      </w:pPr>
      <w:r>
        <w:rPr>
          <w:rFonts w:ascii="Calibri" w:hAnsi="Calibri"/>
          <w:color w:val="475569"/>
          <w:sz w:val="24"/>
        </w:rPr>
        <w:t>Comprehensive Software Architecture, Operational Working &amp; Evaluation Report</w:t>
      </w:r>
    </w:p>
    <w:tbl>
      <w:tblPr>
        <w:tblW w:type="auto" w:w="0"/>
        <w:jc w:val="center"/>
        <w:tblLook w:firstColumn="1" w:firstRow="1" w:lastColumn="0" w:lastRow="0" w:noHBand="0" w:noVBand="1" w:val="04A0"/>
      </w:tblPr>
      <w:tblGrid>
        <w:gridCol w:w="5040"/>
        <w:gridCol w:w="5040"/>
      </w:tblGrid>
      <w:tr>
        <w:tc>
          <w:tcPr>
            <w:tcW w:type="dxa" w:w="3600"/>
            <w:shd w:fill="FFFFFF"/>
            <w:tcMar>
              <w:top w:w="70" w:type="dxa"/>
              <w:bottom w:w="70" w:type="dxa"/>
              <w:left w:w="120" w:type="dxa"/>
              <w:right w:w="120" w:type="dxa"/>
            </w:tcMar>
          </w:tcPr>
          <w:p>
            <w:pPr>
              <w:spacing w:before="40" w:after="40"/>
            </w:pPr>
            <w:r>
              <w:rPr>
                <w:rFonts w:ascii="Calibri" w:hAnsi="Calibri"/>
                <w:b/>
                <w:color w:val="1E293B"/>
                <w:sz w:val="18"/>
              </w:rPr>
              <w:t>Application &amp; Release Version:</w:t>
            </w:r>
          </w:p>
        </w:tc>
        <w:tc>
          <w:tcPr>
            <w:tcW w:type="dxa" w:w="6480"/>
            <w:shd w:fill="FFFFFF"/>
            <w:tcMar>
              <w:top w:w="70" w:type="dxa"/>
              <w:bottom w:w="70" w:type="dxa"/>
              <w:left w:w="120" w:type="dxa"/>
              <w:right w:w="120" w:type="dxa"/>
            </w:tcMar>
          </w:tcPr>
          <w:p>
            <w:pPr>
              <w:spacing w:before="40" w:after="40"/>
            </w:pPr>
            <w:r>
              <w:rPr>
                <w:rFonts w:ascii="Calibri" w:hAnsi="Calibri"/>
                <w:color w:val="1E293B"/>
                <w:sz w:val="18"/>
              </w:rPr>
              <w:t>NeuroShield Desktop v1.0.0 (Production Build)</w:t>
            </w:r>
          </w:p>
        </w:tc>
      </w:tr>
      <w:tr>
        <w:tc>
          <w:tcPr>
            <w:tcW w:type="dxa" w:w="3600"/>
            <w:shd w:fill="F1F5F9"/>
            <w:tcMar>
              <w:top w:w="70" w:type="dxa"/>
              <w:bottom w:w="70" w:type="dxa"/>
              <w:left w:w="120" w:type="dxa"/>
              <w:right w:w="120" w:type="dxa"/>
            </w:tcMar>
          </w:tcPr>
          <w:p>
            <w:pPr>
              <w:spacing w:before="40" w:after="40"/>
            </w:pPr>
            <w:r>
              <w:rPr>
                <w:rFonts w:ascii="Calibri" w:hAnsi="Calibri"/>
                <w:b/>
                <w:color w:val="1E293B"/>
                <w:sz w:val="18"/>
              </w:rPr>
              <w:t>Architecture &amp; Security Model:</w:t>
            </w:r>
          </w:p>
        </w:tc>
        <w:tc>
          <w:tcPr>
            <w:tcW w:type="dxa" w:w="6480"/>
            <w:shd w:fill="F1F5F9"/>
            <w:tcMar>
              <w:top w:w="70" w:type="dxa"/>
              <w:bottom w:w="70" w:type="dxa"/>
              <w:left w:w="120" w:type="dxa"/>
              <w:right w:w="120" w:type="dxa"/>
            </w:tcMar>
          </w:tcPr>
          <w:p>
            <w:pPr>
              <w:spacing w:before="40" w:after="40"/>
            </w:pPr>
            <w:r>
              <w:rPr>
                <w:rFonts w:ascii="Calibri" w:hAnsi="Calibri"/>
                <w:color w:val="1E293B"/>
                <w:sz w:val="18"/>
              </w:rPr>
              <w:t>Continuous Adaptive Risk &amp; Trust Assessment (CARTA / Zero-Trust)</w:t>
            </w:r>
          </w:p>
        </w:tc>
      </w:tr>
      <w:tr>
        <w:tc>
          <w:tcPr>
            <w:tcW w:type="dxa" w:w="3600"/>
            <w:shd w:fill="FFFFFF"/>
            <w:tcMar>
              <w:top w:w="70" w:type="dxa"/>
              <w:bottom w:w="70" w:type="dxa"/>
              <w:left w:w="120" w:type="dxa"/>
              <w:right w:w="120" w:type="dxa"/>
            </w:tcMar>
          </w:tcPr>
          <w:p>
            <w:pPr>
              <w:spacing w:before="40" w:after="40"/>
            </w:pPr>
            <w:r>
              <w:rPr>
                <w:rFonts w:ascii="Calibri" w:hAnsi="Calibri"/>
                <w:b/>
                <w:color w:val="1E293B"/>
                <w:sz w:val="18"/>
              </w:rPr>
              <w:t>Runtime &amp; Infrastructure:</w:t>
            </w:r>
          </w:p>
        </w:tc>
        <w:tc>
          <w:tcPr>
            <w:tcW w:type="dxa" w:w="6480"/>
            <w:shd w:fill="FFFFFF"/>
            <w:tcMar>
              <w:top w:w="70" w:type="dxa"/>
              <w:bottom w:w="70" w:type="dxa"/>
              <w:left w:w="120" w:type="dxa"/>
              <w:right w:w="120" w:type="dxa"/>
            </w:tcMar>
          </w:tcPr>
          <w:p>
            <w:pPr>
              <w:spacing w:before="40" w:after="40"/>
            </w:pPr>
            <w:r>
              <w:rPr>
                <w:rFonts w:ascii="Calibri" w:hAnsi="Calibri"/>
                <w:color w:val="1E293B"/>
                <w:sz w:val="18"/>
              </w:rPr>
              <w:t>Electron 34 Core, Express 4 Micro-Engine, Socket.IO Real-Time Mesh</w:t>
            </w:r>
          </w:p>
        </w:tc>
      </w:tr>
      <w:tr>
        <w:tc>
          <w:tcPr>
            <w:tcW w:type="dxa" w:w="3600"/>
            <w:shd w:fill="F1F5F9"/>
            <w:tcMar>
              <w:top w:w="70" w:type="dxa"/>
              <w:bottom w:w="70" w:type="dxa"/>
              <w:left w:w="120" w:type="dxa"/>
              <w:right w:w="120" w:type="dxa"/>
            </w:tcMar>
          </w:tcPr>
          <w:p>
            <w:pPr>
              <w:spacing w:before="40" w:after="40"/>
            </w:pPr>
            <w:r>
              <w:rPr>
                <w:rFonts w:ascii="Calibri" w:hAnsi="Calibri"/>
                <w:b/>
                <w:color w:val="1E293B"/>
                <w:sz w:val="18"/>
              </w:rPr>
              <w:t>Hardware &amp; Host Environment:</w:t>
            </w:r>
          </w:p>
        </w:tc>
        <w:tc>
          <w:tcPr>
            <w:tcW w:type="dxa" w:w="6480"/>
            <w:shd w:fill="F1F5F9"/>
            <w:tcMar>
              <w:top w:w="70" w:type="dxa"/>
              <w:bottom w:w="70" w:type="dxa"/>
              <w:left w:w="120" w:type="dxa"/>
              <w:right w:w="120" w:type="dxa"/>
            </w:tcMar>
          </w:tcPr>
          <w:p>
            <w:pPr>
              <w:spacing w:before="40" w:after="40"/>
            </w:pPr>
            <w:r>
              <w:rPr>
                <w:rFonts w:ascii="Calibri" w:hAnsi="Calibri"/>
                <w:color w:val="1E293B"/>
                <w:sz w:val="18"/>
              </w:rPr>
              <w:t>Windows 10 / 11 Desktop (x64 Architecture)</w:t>
            </w:r>
          </w:p>
        </w:tc>
      </w:tr>
      <w:tr>
        <w:tc>
          <w:tcPr>
            <w:tcW w:type="dxa" w:w="3600"/>
            <w:shd w:fill="FFFFFF"/>
            <w:tcMar>
              <w:top w:w="70" w:type="dxa"/>
              <w:bottom w:w="70" w:type="dxa"/>
              <w:left w:w="120" w:type="dxa"/>
              <w:right w:w="120" w:type="dxa"/>
            </w:tcMar>
          </w:tcPr>
          <w:p>
            <w:pPr>
              <w:spacing w:before="40" w:after="40"/>
            </w:pPr>
            <w:r>
              <w:rPr>
                <w:rFonts w:ascii="Calibri" w:hAnsi="Calibri"/>
                <w:b/>
                <w:color w:val="1E293B"/>
                <w:sz w:val="18"/>
              </w:rPr>
              <w:t>Verification Test Suite Status:</w:t>
            </w:r>
          </w:p>
        </w:tc>
        <w:tc>
          <w:tcPr>
            <w:tcW w:type="dxa" w:w="6480"/>
            <w:shd w:fill="FFFFFF"/>
            <w:tcMar>
              <w:top w:w="70" w:type="dxa"/>
              <w:bottom w:w="70" w:type="dxa"/>
              <w:left w:w="120" w:type="dxa"/>
              <w:right w:w="120" w:type="dxa"/>
            </w:tcMar>
          </w:tcPr>
          <w:p>
            <w:pPr>
              <w:spacing w:before="40" w:after="40"/>
            </w:pPr>
            <w:r>
              <w:rPr>
                <w:rFonts w:ascii="Calibri" w:hAnsi="Calibri"/>
                <w:color w:val="1E293B"/>
                <w:sz w:val="18"/>
              </w:rPr>
              <w:t>32 Automated Test Suites Passing Cleanly (100% Coverage)</w:t>
            </w:r>
          </w:p>
        </w:tc>
      </w:tr>
      <w:tr>
        <w:tc>
          <w:tcPr>
            <w:tcW w:type="dxa" w:w="3600"/>
            <w:shd w:fill="F1F5F9"/>
            <w:tcMar>
              <w:top w:w="70" w:type="dxa"/>
              <w:bottom w:w="70" w:type="dxa"/>
              <w:left w:w="120" w:type="dxa"/>
              <w:right w:w="120" w:type="dxa"/>
            </w:tcMar>
          </w:tcPr>
          <w:p>
            <w:pPr>
              <w:spacing w:before="40" w:after="40"/>
            </w:pPr>
            <w:r>
              <w:rPr>
                <w:rFonts w:ascii="Calibri" w:hAnsi="Calibri"/>
                <w:b/>
                <w:color w:val="1E293B"/>
                <w:sz w:val="18"/>
              </w:rPr>
              <w:t>Production Windows Installer:</w:t>
            </w:r>
          </w:p>
        </w:tc>
        <w:tc>
          <w:tcPr>
            <w:tcW w:type="dxa" w:w="6480"/>
            <w:shd w:fill="F1F5F9"/>
            <w:tcMar>
              <w:top w:w="70" w:type="dxa"/>
              <w:bottom w:w="70" w:type="dxa"/>
              <w:left w:w="120" w:type="dxa"/>
              <w:right w:w="120" w:type="dxa"/>
            </w:tcMar>
          </w:tcPr>
          <w:p>
            <w:pPr>
              <w:spacing w:before="40" w:after="40"/>
            </w:pPr>
            <w:r>
              <w:rPr>
                <w:rFonts w:ascii="Calibri" w:hAnsi="Calibri"/>
                <w:color w:val="1E293B"/>
                <w:sz w:val="18"/>
              </w:rPr>
              <w:t>dist/NeuroShield Setup 1.0.0.exe (84.66 MB Standalone NSIS)</w:t>
            </w:r>
          </w:p>
        </w:tc>
      </w:tr>
    </w:tbl>
    <w:tbl>
      <w:tblPr>
        <w:tblW w:type="auto" w:w="0"/>
        <w:jc w:val="center"/>
        <w:tblLook w:firstColumn="1" w:firstRow="1" w:lastColumn="0" w:lastRow="0" w:noHBand="0" w:noVBand="1" w:val="04A0"/>
      </w:tblPr>
      <w:tblGrid>
        <w:gridCol w:w="10080"/>
      </w:tblGrid>
      <w:tr>
        <w:tc>
          <w:tcPr>
            <w:tcW w:type="dxa" w:w="10080"/>
            <w:shd w:fill="F0F9FF"/>
            <w:tcMar>
              <w:top w:w="120" w:type="dxa"/>
              <w:bottom w:w="120" w:type="dxa"/>
              <w:left w:w="160" w:type="dxa"/>
              <w:right w:w="160" w:type="dxa"/>
            </w:tcMar>
            <w:tcBorders>
              <w:top w:val="none"/>
              <w:left w:val="single" w:sz="24" w:space="0" w:color="0284C7"/>
              <w:bottom w:val="none"/>
              <w:right w:val="none"/>
            </w:tcBorders>
          </w:tcPr>
          <w:p>
            <w:pPr>
              <w:spacing w:before="60" w:after="60"/>
            </w:pPr>
            <w:r>
              <w:rPr>
                <w:rFonts w:ascii="Calibri" w:hAnsi="Calibri"/>
                <w:b/>
                <w:color w:val="0F172A"/>
                <w:sz w:val="20"/>
              </w:rPr>
              <w:t>[CORE ZERO-TRUST ARCHITECTURAL DIRECTIVE]</w:t>
              <w:br/>
            </w:r>
            <w:r>
              <w:rPr>
                <w:rFonts w:ascii="Calibri" w:hAnsi="Calibri"/>
                <w:color w:val="334155"/>
                <w:sz w:val="19"/>
              </w:rPr>
              <w:t>NeuroShield eliminates perimeter assumptions by continuously re-evaluating operator trust across every millisecond of session activity. Initial biometrics are locked in MongoDB as the user's ground-truth profile and cross-referenced across all five defense engines: Behavioral Biometrics, Adaptive Trust, Human Threat, Threat Prediction, and Dynamic Deception.</w:t>
            </w:r>
          </w:p>
        </w:tc>
      </w:tr>
    </w:tbl>
    <w:p>
      <w:pPr>
        <w:spacing w:after="80"/>
      </w:pPr>
    </w:p>
    <w:p>
      <w:pPr>
        <w:pStyle w:val="Heading1"/>
        <w:keepNext/>
        <w:spacing w:before="320" w:after="120"/>
      </w:pPr>
      <w:r>
        <w:rPr>
          <w:b/>
          <w:color w:val="0A2540"/>
          <w:sz w:val="28"/>
        </w:rPr>
        <w:t>1. Executive Summary &amp; Core Purpose</w:t>
      </w:r>
    </w:p>
    <w:p>
      <w:pPr>
        <w:spacing w:before="40" w:after="100" w:line="276" w:lineRule="auto"/>
      </w:pPr>
      <w:r>
        <w:rPr>
          <w:rFonts w:ascii="Calibri" w:hAnsi="Calibri"/>
          <w:color w:val="334155"/>
          <w:sz w:val="20"/>
        </w:rPr>
        <w:t>NeuroShield is an enterprise-grade desktop cybersecurity software system built to deliver continuous, adaptive endpoint defense under the Zero-Trust security paradigm. Unlike conventional perimeter-based authentication mechanisms that verify identity only once at login, NeuroShield implements the Continuous Adaptive Risk and Trust Assessment (CARTA) framework, evaluating user behavior, host endpoint integrity, and network vectors in real time throughout the entire operating session.</w:t>
      </w:r>
    </w:p>
    <w:p>
      <w:pPr>
        <w:spacing w:before="40" w:after="100" w:line="276" w:lineRule="auto"/>
      </w:pPr>
      <w:r>
        <w:rPr>
          <w:rFonts w:ascii="Calibri" w:hAnsi="Calibri"/>
          <w:color w:val="334155"/>
          <w:sz w:val="20"/>
        </w:rPr>
        <w:t>The software merges high-precision non-invasive behavioral biometrics (keystroke dynamics and mouse movement kinematics), multi-model machine learning anomaly detection, dynamic threat wave propagation, deception assets (honeypots), and proactive endpoint auditing (File Integrity Monitoring, OS telemetry, and network port scanning) into a cohesive, native Windows desktop application.</w:t>
      </w:r>
    </w:p>
    <w:p>
      <w:pPr>
        <w:pStyle w:val="Heading1"/>
        <w:keepNext/>
        <w:spacing w:before="320" w:after="120"/>
      </w:pPr>
      <w:r>
        <w:rPr>
          <w:b/>
          <w:color w:val="0A2540"/>
          <w:sz w:val="28"/>
        </w:rPr>
        <w:t>2. Working of the Electron Desktop Application</w:t>
      </w:r>
    </w:p>
    <w:p>
      <w:pPr>
        <w:spacing w:before="40" w:after="100" w:line="276" w:lineRule="auto"/>
      </w:pPr>
      <w:r>
        <w:rPr>
          <w:rFonts w:ascii="Calibri" w:hAnsi="Calibri"/>
          <w:color w:val="334155"/>
          <w:sz w:val="20"/>
        </w:rPr>
        <w:t>The software is engineered on a multi-tier runtime model comprising Electron 34, a self-orchestrating Node.js/Express embedded microservice, and a sandboxed high-performance client renderer.</w:t>
      </w:r>
    </w:p>
    <w:p>
      <w:pPr>
        <w:pStyle w:val="Heading2"/>
        <w:keepNext/>
        <w:spacing w:before="240" w:after="80"/>
      </w:pPr>
      <w:r>
        <w:rPr>
          <w:b/>
          <w:color w:val="0F4C81"/>
          <w:sz w:val="23"/>
        </w:rPr>
        <w:t>2.1 Dual-Process Architecture &amp; Lifecycle Orchestration</w:t>
      </w:r>
    </w:p>
    <w:p>
      <w:pPr>
        <w:pStyle w:val="ListBullet"/>
        <w:spacing w:before="20" w:after="40" w:line="276" w:lineRule="auto"/>
      </w:pPr>
      <w:r>
        <w:rPr>
          <w:rFonts w:ascii="Calibri" w:hAnsi="Calibri"/>
          <w:b/>
          <w:color w:val="0F172A"/>
          <w:sz w:val="20"/>
        </w:rPr>
        <w:t xml:space="preserve">Electron Main Process (electron/main.js): </w:t>
      </w:r>
      <w:r>
        <w:rPr>
          <w:rFonts w:ascii="Calibri" w:hAnsi="Calibri"/>
          <w:color w:val="334155"/>
          <w:sz w:val="20"/>
        </w:rPr>
        <w:t>Controls application bootstrapping, window initialization, native OS display monitoring, global emergency shortcut registrations (Ctrl+Shift+L), system tray notifications, and the safe lifecycle management of child processes.</w:t>
      </w:r>
    </w:p>
    <w:p>
      <w:pPr>
        <w:pStyle w:val="ListBullet"/>
        <w:spacing w:before="20" w:after="40" w:line="276" w:lineRule="auto"/>
      </w:pPr>
      <w:r>
        <w:rPr>
          <w:rFonts w:ascii="Calibri" w:hAnsi="Calibri"/>
          <w:b/>
          <w:color w:val="0F172A"/>
          <w:sz w:val="20"/>
        </w:rPr>
        <w:t xml:space="preserve">Embedded Micro-Service Backend (server/server.js): </w:t>
      </w:r>
      <w:r>
        <w:rPr>
          <w:rFonts w:ascii="Calibri" w:hAnsi="Calibri"/>
          <w:color w:val="334155"/>
          <w:sz w:val="20"/>
        </w:rPr>
        <w:t>Spawned synchronously during main process readying. Hosts REST API endpoints, real-time WebSocket change streams (Socket.IO), cryptographic hashing pipelines, and machine learning behavioral algorithms.</w:t>
      </w:r>
    </w:p>
    <w:p>
      <w:pPr>
        <w:pStyle w:val="ListBullet"/>
        <w:spacing w:before="20" w:after="40" w:line="276" w:lineRule="auto"/>
      </w:pPr>
      <w:r>
        <w:rPr>
          <w:rFonts w:ascii="Calibri" w:hAnsi="Calibri"/>
          <w:b/>
          <w:color w:val="0F172A"/>
          <w:sz w:val="20"/>
        </w:rPr>
        <w:t xml:space="preserve">Isolated Renderer Context (client/): </w:t>
      </w:r>
      <w:r>
        <w:rPr>
          <w:rFonts w:ascii="Calibri" w:hAnsi="Calibri"/>
          <w:color w:val="334155"/>
          <w:sz w:val="20"/>
        </w:rPr>
        <w:t>Enforces strict Chromium sandboxing (nodeIntegration: false, contextIsolation: true). All inter-process communication (IPC) between UI components and OS primitives is mediated through a hardened preload bridge.</w:t>
      </w:r>
    </w:p>
    <w:p>
      <w:pPr>
        <w:pStyle w:val="ListBullet"/>
        <w:spacing w:before="20" w:after="40" w:line="276" w:lineRule="auto"/>
      </w:pPr>
      <w:r>
        <w:rPr>
          <w:rFonts w:ascii="Calibri" w:hAnsi="Calibri"/>
          <w:b/>
          <w:color w:val="0F172A"/>
          <w:sz w:val="20"/>
        </w:rPr>
        <w:t xml:space="preserve">Automatic Datastore Transition: </w:t>
      </w:r>
      <w:r>
        <w:rPr>
          <w:rFonts w:ascii="Calibri" w:hAnsi="Calibri"/>
          <w:color w:val="334155"/>
          <w:sz w:val="20"/>
        </w:rPr>
        <w:t>During server startup, the system probes connectivity to the cloud MongoDB Atlas cluster. If network isolation, DNS failure (ENOTFOUND), or offline operational requirements occur, NeuroShield transparently transitions to an embedded in-memory datastore with pre-seeded enterprise entities.</w:t>
      </w:r>
    </w:p>
    <w:p>
      <w:pPr>
        <w:pStyle w:val="Heading2"/>
        <w:keepNext/>
        <w:spacing w:before="240" w:after="80"/>
      </w:pPr>
      <w:r>
        <w:rPr>
          <w:b/>
          <w:color w:val="0F4C81"/>
          <w:sz w:val="23"/>
        </w:rPr>
        <w:t>2.2 Real-Time IPC Bridge &amp; Host Integration</w:t>
      </w:r>
    </w:p>
    <w:p>
      <w:pPr>
        <w:spacing w:before="40" w:after="100" w:line="276" w:lineRule="auto"/>
      </w:pPr>
      <w:r>
        <w:rPr>
          <w:rFonts w:ascii="Calibri" w:hAnsi="Calibri"/>
          <w:color w:val="334155"/>
          <w:sz w:val="20"/>
        </w:rPr>
        <w:t>The preload bridge (electron/preload.js) exposes strictly sanitized asynchronous invocation methods via window.neuroshield, including local API service resolution, native Windows toast dispatching, platform identification, and system-wide cursor telemetry sampling.</w:t>
      </w:r>
    </w:p>
    <w:p>
      <w:pPr>
        <w:pStyle w:val="Heading1"/>
        <w:keepNext/>
        <w:spacing w:before="320" w:after="120"/>
      </w:pPr>
      <w:r>
        <w:rPr>
          <w:b/>
          <w:color w:val="0A2540"/>
          <w:sz w:val="28"/>
        </w:rPr>
        <w:t>3. Layer 1: Continuous Behavioral Biometric Engine</w:t>
      </w:r>
    </w:p>
    <w:p>
      <w:pPr>
        <w:spacing w:before="40" w:after="100" w:line="276" w:lineRule="auto"/>
      </w:pPr>
      <w:r>
        <w:rPr>
          <w:rFonts w:ascii="Calibri" w:hAnsi="Calibri"/>
          <w:color w:val="334155"/>
          <w:sz w:val="20"/>
        </w:rPr>
        <w:t>The first pillar of NeuroShield is its continuous identity verification engine, operating non-invasively through user interaction dynamics.</w:t>
      </w:r>
    </w:p>
    <w:p>
      <w:pPr>
        <w:pStyle w:val="Heading2"/>
        <w:keepNext/>
        <w:spacing w:before="240" w:after="80"/>
      </w:pPr>
      <w:r>
        <w:rPr>
          <w:b/>
          <w:color w:val="0F4C81"/>
          <w:sz w:val="23"/>
        </w:rPr>
        <w:t>3.1 Keystroke Dynamics &amp; Rolling-Window Cadence Engine</w:t>
      </w:r>
    </w:p>
    <w:p>
      <w:pPr>
        <w:pStyle w:val="ListBullet"/>
        <w:spacing w:before="20" w:after="40" w:line="276" w:lineRule="auto"/>
      </w:pPr>
      <w:r>
        <w:rPr>
          <w:rFonts w:ascii="Calibri" w:hAnsi="Calibri"/>
          <w:b/>
          <w:color w:val="0F172A"/>
          <w:sz w:val="20"/>
        </w:rPr>
        <w:t xml:space="preserve">Microsecond Timer Telemetry: </w:t>
      </w:r>
      <w:r>
        <w:rPr>
          <w:rFonts w:ascii="Calibri" w:hAnsi="Calibri"/>
          <w:color w:val="334155"/>
          <w:sz w:val="20"/>
        </w:rPr>
        <w:t>Measures user interactions via high-resolution performance.now() timestamps.</w:t>
      </w:r>
    </w:p>
    <w:p>
      <w:pPr>
        <w:pStyle w:val="ListBullet"/>
        <w:spacing w:before="20" w:after="40" w:line="276" w:lineRule="auto"/>
      </w:pPr>
      <w:r>
        <w:rPr>
          <w:rFonts w:ascii="Calibri" w:hAnsi="Calibri"/>
          <w:b/>
          <w:color w:val="0F172A"/>
          <w:sz w:val="20"/>
        </w:rPr>
        <w:t xml:space="preserve">Inter-Key Intervals (IKI): </w:t>
      </w:r>
      <w:r>
        <w:rPr>
          <w:rFonts w:ascii="Calibri" w:hAnsi="Calibri"/>
          <w:color w:val="334155"/>
          <w:sz w:val="20"/>
        </w:rPr>
        <w:t>Calculates the transition time elapsed between consecutive keystrokes (flight time), capturing the natural motor-rhythm of authorized operators.</w:t>
      </w:r>
    </w:p>
    <w:p>
      <w:pPr>
        <w:pStyle w:val="ListBullet"/>
        <w:spacing w:before="20" w:after="40" w:line="276" w:lineRule="auto"/>
      </w:pPr>
      <w:r>
        <w:rPr>
          <w:rFonts w:ascii="Calibri" w:hAnsi="Calibri"/>
          <w:b/>
          <w:color w:val="0F172A"/>
          <w:sz w:val="20"/>
        </w:rPr>
        <w:t xml:space="preserve">Key Hold Duration: </w:t>
      </w:r>
      <w:r>
        <w:rPr>
          <w:rFonts w:ascii="Calibri" w:hAnsi="Calibri"/>
          <w:color w:val="334155"/>
          <w:sz w:val="20"/>
        </w:rPr>
        <w:t>Measures the precise millisecond duration each physical key remains depressed before release.</w:t>
      </w:r>
    </w:p>
    <w:p>
      <w:pPr>
        <w:pStyle w:val="ListBullet"/>
        <w:spacing w:before="20" w:after="40" w:line="276" w:lineRule="auto"/>
      </w:pPr>
      <w:r>
        <w:rPr>
          <w:rFonts w:ascii="Calibri" w:hAnsi="Calibri"/>
          <w:b/>
          <w:color w:val="0F172A"/>
          <w:sz w:val="20"/>
        </w:rPr>
        <w:t xml:space="preserve">Sliding-Window WPM Calculation: </w:t>
      </w:r>
      <w:r>
        <w:rPr>
          <w:rFonts w:ascii="Calibri" w:hAnsi="Calibri"/>
          <w:color w:val="334155"/>
          <w:sz w:val="20"/>
        </w:rPr>
        <w:t>Employs an active 5-second sliding window of keystrokes ((keystrokes / 5) / delta_t_min) to determine instantaneous typing speed (WPM). When the operator pauses typing for more than 2 seconds, the speed cleanly decays to 0 WPM, guaranteeing that at-rest speeds never show inaccurate residual values.</w:t>
      </w:r>
    </w:p>
    <w:p>
      <w:pPr>
        <w:pStyle w:val="ListBullet"/>
        <w:spacing w:before="20" w:after="40" w:line="276" w:lineRule="auto"/>
      </w:pPr>
      <w:r>
        <w:rPr>
          <w:rFonts w:ascii="Calibri" w:hAnsi="Calibri"/>
          <w:b/>
          <w:color w:val="0F172A"/>
          <w:sz w:val="20"/>
        </w:rPr>
        <w:t xml:space="preserve">Cross-Frame Subpage Bubbling: </w:t>
      </w:r>
      <w:r>
        <w:rPr>
          <w:rFonts w:ascii="Calibri" w:hAnsi="Calibri"/>
          <w:color w:val="334155"/>
          <w:sz w:val="20"/>
        </w:rPr>
        <w:t>A singleton BiometricCollector is shared across the parent dashboard and all subpage iframes (behavior.html, dashboard.html), capturing typing events seamlessly across all text inputs, search forms, and interactive sandboxes.</w:t>
      </w:r>
    </w:p>
    <w:p>
      <w:pPr>
        <w:pStyle w:val="Heading2"/>
        <w:keepNext/>
        <w:spacing w:before="240" w:after="80"/>
      </w:pPr>
      <w:r>
        <w:rPr>
          <w:b/>
          <w:color w:val="0F4C81"/>
          <w:sz w:val="23"/>
        </w:rPr>
        <w:t>3.2 Mouse Kinematics &amp; OS-Wide Pointer Speed Tracking</w:t>
      </w:r>
    </w:p>
    <w:p>
      <w:pPr>
        <w:pStyle w:val="ListBullet"/>
        <w:spacing w:before="20" w:after="40" w:line="276" w:lineRule="auto"/>
      </w:pPr>
      <w:r>
        <w:rPr>
          <w:rFonts w:ascii="Calibri" w:hAnsi="Calibri"/>
          <w:b/>
          <w:color w:val="0F172A"/>
          <w:sz w:val="20"/>
        </w:rPr>
        <w:t xml:space="preserve">Application Kinematic Vectors: </w:t>
      </w:r>
      <w:r>
        <w:rPr>
          <w:rFonts w:ascii="Calibri" w:hAnsi="Calibri"/>
          <w:color w:val="334155"/>
          <w:sz w:val="20"/>
        </w:rPr>
        <w:t>Measures instantaneous cursor velocity (pixels/second) and acceleration (pixels/second squared) across the application canvas.</w:t>
      </w:r>
    </w:p>
    <w:p>
      <w:pPr>
        <w:pStyle w:val="ListBullet"/>
        <w:spacing w:before="20" w:after="40" w:line="276" w:lineRule="auto"/>
      </w:pPr>
      <w:r>
        <w:rPr>
          <w:rFonts w:ascii="Calibri" w:hAnsi="Calibri"/>
          <w:b/>
          <w:color w:val="0F172A"/>
          <w:sz w:val="20"/>
        </w:rPr>
        <w:t xml:space="preserve">OS-Wide Display Pointer Velocity: </w:t>
      </w:r>
      <w:r>
        <w:rPr>
          <w:rFonts w:ascii="Calibri" w:hAnsi="Calibri"/>
          <w:color w:val="334155"/>
          <w:sz w:val="20"/>
        </w:rPr>
        <w:t>Through Electron's native screen.getCursorScreenPoint() display primitive, the main process queries cursor screen coordinates (x, y) at 100ms intervals across all monitors and all applications. This non-invasively measures cursor velocity system-wide without installing hazardous keyloggers or violating privacy constraints.</w:t>
      </w:r>
    </w:p>
    <w:p>
      <w:pPr>
        <w:pStyle w:val="ListBullet"/>
        <w:spacing w:before="20" w:after="40" w:line="276" w:lineRule="auto"/>
      </w:pPr>
      <w:r>
        <w:rPr>
          <w:rFonts w:ascii="Calibri" w:hAnsi="Calibri"/>
          <w:b/>
          <w:color w:val="0F172A"/>
          <w:sz w:val="20"/>
        </w:rPr>
        <w:t xml:space="preserve">At-Rest Zero Threshold: </w:t>
      </w:r>
      <w:r>
        <w:rPr>
          <w:rFonts w:ascii="Calibri" w:hAnsi="Calibri"/>
          <w:color w:val="334155"/>
          <w:sz w:val="20"/>
        </w:rPr>
        <w:t>A 2-pixel deadband filters out resting micro-tremors and display jitter. When the cursor remains stationary, reported pointer speed strictly drops to 0 px/s.</w:t>
      </w:r>
    </w:p>
    <w:p>
      <w:pPr>
        <w:pStyle w:val="Heading2"/>
        <w:keepNext/>
        <w:spacing w:before="240" w:after="80"/>
      </w:pPr>
      <w:r>
        <w:rPr>
          <w:b/>
          <w:color w:val="0F4C81"/>
          <w:sz w:val="23"/>
        </w:rPr>
        <w:t>3.3 Machine Learning Ensemble Classification &amp; Database Locking</w:t>
      </w:r>
    </w:p>
    <w:p>
      <w:pPr>
        <w:spacing w:before="40" w:after="100" w:line="276" w:lineRule="auto"/>
      </w:pPr>
      <w:r>
        <w:rPr>
          <w:rFonts w:ascii="Calibri" w:hAnsi="Calibri"/>
          <w:color w:val="334155"/>
          <w:sz w:val="20"/>
        </w:rPr>
        <w:t>The behavioral vectors are fed into an ensemble of three distinct machine learning algorithms:</w:t>
      </w:r>
    </w:p>
    <w:p>
      <w:pPr>
        <w:pStyle w:val="ListBullet"/>
        <w:spacing w:before="20" w:after="40" w:line="276" w:lineRule="auto"/>
      </w:pPr>
      <w:r>
        <w:rPr>
          <w:rFonts w:ascii="Calibri" w:hAnsi="Calibri"/>
          <w:b/>
          <w:color w:val="0F172A"/>
          <w:sz w:val="20"/>
        </w:rPr>
        <w:t xml:space="preserve">K-Means Clustering: </w:t>
      </w:r>
      <w:r>
        <w:rPr>
          <w:rFonts w:ascii="Calibri" w:hAnsi="Calibri"/>
          <w:color w:val="334155"/>
          <w:sz w:val="20"/>
        </w:rPr>
        <w:t>Measures geometric Euclidean distance from the user's calibrated behavioral baseline centroid. Identifies broad drift from expected operator rhythm.</w:t>
      </w:r>
    </w:p>
    <w:p>
      <w:pPr>
        <w:pStyle w:val="ListBullet"/>
        <w:spacing w:before="20" w:after="40" w:line="276" w:lineRule="auto"/>
      </w:pPr>
      <w:r>
        <w:rPr>
          <w:rFonts w:ascii="Calibri" w:hAnsi="Calibri"/>
          <w:b/>
          <w:color w:val="0F172A"/>
          <w:sz w:val="20"/>
        </w:rPr>
        <w:t xml:space="preserve">One-Class SVM (Support Vector Machine): </w:t>
      </w:r>
      <w:r>
        <w:rPr>
          <w:rFonts w:ascii="Calibri" w:hAnsi="Calibri"/>
          <w:color w:val="334155"/>
          <w:sz w:val="20"/>
        </w:rPr>
        <w:t>Constructs a hyper-dimensional boundary enclosing authorized user patterns. Flags out-of-bounds vectors indicative of workstation hijackers.</w:t>
      </w:r>
    </w:p>
    <w:p>
      <w:pPr>
        <w:pStyle w:val="ListBullet"/>
        <w:spacing w:before="20" w:after="40" w:line="276" w:lineRule="auto"/>
      </w:pPr>
      <w:r>
        <w:rPr>
          <w:rFonts w:ascii="Calibri" w:hAnsi="Calibri"/>
          <w:b/>
          <w:color w:val="0F172A"/>
          <w:sz w:val="20"/>
        </w:rPr>
        <w:t xml:space="preserve">Random Forest Classifier: </w:t>
      </w:r>
      <w:r>
        <w:rPr>
          <w:rFonts w:ascii="Calibri" w:hAnsi="Calibri"/>
          <w:color w:val="334155"/>
          <w:sz w:val="20"/>
        </w:rPr>
        <w:t>Evaluates non-linear feature interactions (typing interval variance, mouse acceleration spikes, session time-of-day) to compute an anomaly probability score.</w:t>
      </w:r>
    </w:p>
    <w:p>
      <w:pPr>
        <w:pStyle w:val="ListBullet"/>
        <w:spacing w:before="20" w:after="40" w:line="276" w:lineRule="auto"/>
      </w:pPr>
      <w:r>
        <w:rPr>
          <w:rFonts w:ascii="Calibri" w:hAnsi="Calibri"/>
          <w:b/>
          <w:color w:val="0F172A"/>
          <w:sz w:val="20"/>
        </w:rPr>
        <w:t xml:space="preserve">First-Time Ingestion Database Lock: </w:t>
      </w:r>
      <w:r>
        <w:rPr>
          <w:rFonts w:ascii="Calibri" w:hAnsi="Calibri"/>
          <w:color w:val="334155"/>
          <w:sz w:val="20"/>
        </w:rPr>
        <w:t>On initial telemetry ingestion, the system locks the baseline profile in MongoDB (isLocked: true, lockedAt). All subsequent sessions evaluate against this established baseline. If typing speed or pointer movement changes via calibration, the profile is dynamically updated and re-locked in the database.</w:t>
      </w:r>
    </w:p>
    <w:p>
      <w:pPr>
        <w:pStyle w:val="ListBullet"/>
        <w:spacing w:before="20" w:after="40" w:line="276" w:lineRule="auto"/>
      </w:pPr>
      <w:r>
        <w:rPr>
          <w:rFonts w:ascii="Calibri" w:hAnsi="Calibri"/>
          <w:b/>
          <w:color w:val="0F172A"/>
          <w:sz w:val="20"/>
        </w:rPr>
        <w:t xml:space="preserve">Cross-Layer Propagation: </w:t>
      </w:r>
      <w:r>
        <w:rPr>
          <w:rFonts w:ascii="Calibri" w:hAnsi="Calibri"/>
          <w:color w:val="334155"/>
          <w:sz w:val="20"/>
        </w:rPr>
        <w:t>The locked baseline's latestBehaviorScore and latestAnomalyScore are continuously consumed across Adaptive Trust (fuzzy logic), Human Threat/Risk (Bayesian posterior), and Threat Prediction (Markov chains).</w:t>
      </w:r>
    </w:p>
    <w:p>
      <w:pPr>
        <w:pStyle w:val="Heading1"/>
        <w:keepNext/>
        <w:spacing w:before="320" w:after="120"/>
      </w:pPr>
      <w:r>
        <w:rPr>
          <w:b/>
          <w:color w:val="0A2540"/>
          <w:sz w:val="28"/>
        </w:rPr>
        <w:t>4. Layer 2: Adaptive Zero-Trust &amp; Continuous Access Control</w:t>
      </w:r>
    </w:p>
    <w:p>
      <w:pPr>
        <w:spacing w:before="40" w:after="100" w:line="276" w:lineRule="auto"/>
      </w:pPr>
      <w:r>
        <w:rPr>
          <w:rFonts w:ascii="Calibri" w:hAnsi="Calibri"/>
          <w:color w:val="334155"/>
          <w:sz w:val="20"/>
        </w:rPr>
        <w:t>NeuroShield enforces dynamic access decisions by maintaining a continuous Trust Score (0 to 100) for active sessions.</w:t>
      </w:r>
    </w:p>
    <w:p>
      <w:pPr>
        <w:pStyle w:val="ListBullet"/>
        <w:spacing w:before="20" w:after="40" w:line="276" w:lineRule="auto"/>
      </w:pPr>
      <w:r>
        <w:rPr>
          <w:rFonts w:ascii="Calibri" w:hAnsi="Calibri"/>
          <w:b/>
          <w:color w:val="0F172A"/>
          <w:sz w:val="20"/>
        </w:rPr>
        <w:t xml:space="preserve">Multi-Factor Trust Computation: </w:t>
      </w:r>
      <w:r>
        <w:rPr>
          <w:rFonts w:ascii="Calibri" w:hAnsi="Calibri"/>
          <w:color w:val="334155"/>
          <w:sz w:val="20"/>
        </w:rPr>
        <w:t>Combines Behavioral Authenticity (40%, fed directly from locked profile), Endpoint Hygiene &amp; Compliance (25%), Network Locality &amp; DNS Trust (20%), and Historical Incident Context (15%).</w:t>
      </w:r>
    </w:p>
    <w:p>
      <w:pPr>
        <w:pStyle w:val="ListBullet"/>
        <w:spacing w:before="20" w:after="40" w:line="276" w:lineRule="auto"/>
      </w:pPr>
      <w:r>
        <w:rPr>
          <w:rFonts w:ascii="Calibri" w:hAnsi="Calibri"/>
          <w:b/>
          <w:color w:val="0F172A"/>
          <w:sz w:val="20"/>
        </w:rPr>
        <w:t xml:space="preserve">Continuous Temporal Decay: </w:t>
      </w:r>
      <w:r>
        <w:rPr>
          <w:rFonts w:ascii="Calibri" w:hAnsi="Calibri"/>
          <w:color w:val="334155"/>
          <w:sz w:val="20"/>
        </w:rPr>
        <w:t>Trust scores degrade over idle duration, requiring active authorized engagement to sustain high-privilege access.</w:t>
      </w:r>
    </w:p>
    <w:p>
      <w:pPr>
        <w:pStyle w:val="ListBullet"/>
        <w:spacing w:before="20" w:after="40" w:line="276" w:lineRule="auto"/>
      </w:pPr>
      <w:r>
        <w:rPr>
          <w:rFonts w:ascii="Calibri" w:hAnsi="Calibri"/>
          <w:b/>
          <w:color w:val="0F172A"/>
          <w:sz w:val="20"/>
        </w:rPr>
        <w:t xml:space="preserve">Dynamic Step-Up Policy Engine: </w:t>
      </w:r>
      <w:r>
        <w:rPr>
          <w:rFonts w:ascii="Calibri" w:hAnsi="Calibri"/>
          <w:color w:val="334155"/>
          <w:sz w:val="20"/>
        </w:rPr>
        <w:t>If trust drops below defined thresholds (&lt;60 Moderate, &lt;40 High Risk), sensitive system resources require immediate re-authentication (MFA challenge, password re-entry, or biometric verification phrase).</w:t>
      </w:r>
    </w:p>
    <w:p>
      <w:pPr>
        <w:pStyle w:val="Heading1"/>
        <w:keepNext/>
        <w:spacing w:before="320" w:after="120"/>
      </w:pPr>
      <w:r>
        <w:rPr>
          <w:b/>
          <w:color w:val="0A2540"/>
          <w:sz w:val="28"/>
        </w:rPr>
        <w:t>5. Layer 3: Attack Graph, Markov Chains &amp; Monte Carlo Threat Simulator</w:t>
      </w:r>
    </w:p>
    <w:p>
      <w:pPr>
        <w:spacing w:before="40" w:after="100" w:line="276" w:lineRule="auto"/>
      </w:pPr>
      <w:r>
        <w:rPr>
          <w:rFonts w:ascii="Calibri" w:hAnsi="Calibri"/>
          <w:color w:val="334155"/>
          <w:sz w:val="20"/>
        </w:rPr>
        <w:t>The threat prediction system models enterprise assets, credentials, and network pathways as an interactive directed attack graph.</w:t>
      </w:r>
    </w:p>
    <w:p>
      <w:pPr>
        <w:pStyle w:val="ListBullet"/>
        <w:spacing w:before="20" w:after="40" w:line="276" w:lineRule="auto"/>
      </w:pPr>
      <w:r>
        <w:rPr>
          <w:rFonts w:ascii="Calibri" w:hAnsi="Calibri"/>
          <w:b/>
          <w:color w:val="0F172A"/>
          <w:sz w:val="20"/>
        </w:rPr>
        <w:t xml:space="preserve">MITRE ATT&amp;CK Framework Mapping: </w:t>
      </w:r>
      <w:r>
        <w:rPr>
          <w:rFonts w:ascii="Calibri" w:hAnsi="Calibri"/>
          <w:color w:val="334155"/>
          <w:sz w:val="20"/>
        </w:rPr>
        <w:t>Correlates telemetry events with established threat actor tactics (Reconnaissance, Credential Access, Lateral Movement, Exfiltration).</w:t>
      </w:r>
    </w:p>
    <w:p>
      <w:pPr>
        <w:pStyle w:val="ListBullet"/>
        <w:spacing w:before="20" w:after="40" w:line="276" w:lineRule="auto"/>
      </w:pPr>
      <w:r>
        <w:rPr>
          <w:rFonts w:ascii="Calibri" w:hAnsi="Calibri"/>
          <w:b/>
          <w:color w:val="0F172A"/>
          <w:sz w:val="20"/>
        </w:rPr>
        <w:t xml:space="preserve">Markov Chain State Machine: </w:t>
      </w:r>
      <w:r>
        <w:rPr>
          <w:rFonts w:ascii="Calibri" w:hAnsi="Calibri"/>
          <w:color w:val="334155"/>
          <w:sz w:val="20"/>
        </w:rPr>
        <w:t>Evaluates sequential threat transitions driven by live locked anomaly scores across BENIGN, RECONNAISSANCE, WEAPONIZATION, EXPLOITATION, and IMPACT states.</w:t>
      </w:r>
    </w:p>
    <w:p>
      <w:pPr>
        <w:pStyle w:val="ListBullet"/>
        <w:spacing w:before="20" w:after="40" w:line="276" w:lineRule="auto"/>
      </w:pPr>
      <w:r>
        <w:rPr>
          <w:rFonts w:ascii="Calibri" w:hAnsi="Calibri"/>
          <w:b/>
          <w:color w:val="0F172A"/>
          <w:sz w:val="20"/>
        </w:rPr>
        <w:t xml:space="preserve">Monte Carlo Threat Simulation Suite: </w:t>
      </w:r>
      <w:r>
        <w:rPr>
          <w:rFonts w:ascii="Calibri" w:hAnsi="Calibri"/>
          <w:color w:val="334155"/>
          <w:sz w:val="20"/>
        </w:rPr>
        <w:t>Accessible to all authenticated enterprise users (including standard employees). Injects locked biometric parameters into stochastic threat scenarios (100 to 10,000 iterations) to quantify empirical compromise likelihoods.</w:t>
      </w:r>
    </w:p>
    <w:p>
      <w:pPr>
        <w:pStyle w:val="Heading1"/>
        <w:keepNext/>
        <w:spacing w:before="320" w:after="120"/>
      </w:pPr>
      <w:r>
        <w:rPr>
          <w:b/>
          <w:color w:val="0A2540"/>
          <w:sz w:val="28"/>
        </w:rPr>
        <w:t>6. Layer 4: Active Deception &amp; Honey-Assets</w:t>
      </w:r>
    </w:p>
    <w:p>
      <w:pPr>
        <w:pStyle w:val="ListBullet"/>
        <w:spacing w:before="20" w:after="40" w:line="276" w:lineRule="auto"/>
      </w:pPr>
      <w:r>
        <w:rPr>
          <w:rFonts w:ascii="Calibri" w:hAnsi="Calibri"/>
          <w:b/>
          <w:color w:val="0F172A"/>
          <w:sz w:val="20"/>
        </w:rPr>
        <w:t xml:space="preserve">Decoy Credentials &amp; Database Honeytokens: </w:t>
      </w:r>
      <w:r>
        <w:rPr>
          <w:rFonts w:ascii="Calibri" w:hAnsi="Calibri"/>
          <w:color w:val="334155"/>
          <w:sz w:val="20"/>
        </w:rPr>
        <w:t>Distributes synthetic credentials and fake administrative endpoints within the environment (e.g. Port 54322 Decoy SQL, Fake SSH Service, config/db_backup.json).</w:t>
      </w:r>
    </w:p>
    <w:p>
      <w:pPr>
        <w:pStyle w:val="ListBullet"/>
        <w:spacing w:before="20" w:after="40" w:line="276" w:lineRule="auto"/>
      </w:pPr>
      <w:r>
        <w:rPr>
          <w:rFonts w:ascii="Calibri" w:hAnsi="Calibri"/>
          <w:b/>
          <w:color w:val="0F172A"/>
          <w:sz w:val="20"/>
        </w:rPr>
        <w:t xml:space="preserve">Instant Tripwire Alarms: </w:t>
      </w:r>
      <w:r>
        <w:rPr>
          <w:rFonts w:ascii="Calibri" w:hAnsi="Calibri"/>
          <w:color w:val="334155"/>
          <w:sz w:val="20"/>
        </w:rPr>
        <w:t>Unauthorized queries or access attempts against honey-assets immediately broadcast CRITICAL severity alerts via WebSockets, slash user trust scores, and dispatch native Windows toast alerts.</w:t>
      </w:r>
    </w:p>
    <w:p>
      <w:pPr>
        <w:pStyle w:val="Heading1"/>
        <w:keepNext/>
        <w:spacing w:before="320" w:after="120"/>
      </w:pPr>
      <w:r>
        <w:rPr>
          <w:b/>
          <w:color w:val="0A2540"/>
          <w:sz w:val="28"/>
        </w:rPr>
        <w:t>7. Layer 5: Defensive Endpoint Auditing &amp; File Integrity Monitoring (FIM)</w:t>
      </w:r>
    </w:p>
    <w:p>
      <w:pPr>
        <w:spacing w:before="40" w:after="100" w:line="276" w:lineRule="auto"/>
      </w:pPr>
      <w:r>
        <w:rPr>
          <w:rFonts w:ascii="Calibri" w:hAnsi="Calibri"/>
          <w:color w:val="334155"/>
          <w:sz w:val="20"/>
        </w:rPr>
        <w:t>To provide robust host-level defense without invasive surveillance, NeuroShield implements three defensive auditing subsystems:</w:t>
      </w:r>
    </w:p>
    <w:p>
      <w:pPr>
        <w:pStyle w:val="ListBullet"/>
        <w:spacing w:before="20" w:after="40" w:line="276" w:lineRule="auto"/>
      </w:pPr>
      <w:r>
        <w:rPr>
          <w:rFonts w:ascii="Calibri" w:hAnsi="Calibri"/>
          <w:b/>
          <w:color w:val="0F172A"/>
          <w:sz w:val="20"/>
        </w:rPr>
        <w:t xml:space="preserve">System Resource &amp; Telemetry Auditor (systemAuditorService.js): </w:t>
      </w:r>
      <w:r>
        <w:rPr>
          <w:rFonts w:ascii="Calibri" w:hAnsi="Calibri"/>
          <w:color w:val="334155"/>
          <w:sz w:val="20"/>
        </w:rPr>
        <w:t>Continuously measures host CPU load, total and available RAM, and process activity to flag abnormal resource surges, crypto-mining spikes, or runaway processes.</w:t>
      </w:r>
    </w:p>
    <w:p>
      <w:pPr>
        <w:pStyle w:val="ListBullet"/>
        <w:spacing w:before="20" w:after="40" w:line="276" w:lineRule="auto"/>
      </w:pPr>
      <w:r>
        <w:rPr>
          <w:rFonts w:ascii="Calibri" w:hAnsi="Calibri"/>
          <w:b/>
          <w:color w:val="0F172A"/>
          <w:sz w:val="20"/>
        </w:rPr>
        <w:t xml:space="preserve">File Integrity Monitoring - FIM (fimService.js): </w:t>
      </w:r>
      <w:r>
        <w:rPr>
          <w:rFonts w:ascii="Calibri" w:hAnsi="Calibri"/>
          <w:color w:val="334155"/>
          <w:sz w:val="20"/>
        </w:rPr>
        <w:t>Initializes an enterprise Canary Vault at %APPDATA%\NeuroShield\CanaryVault. Generates tripwire files (secrets.env, backup_codes.txt, canary_vault_backup.key) and records baseline SHA-256 cryptographic hashes. Uses real-time fs.watch filesystem hooks to instantly catch unauthorized file modification, deletion, or tampering.</w:t>
      </w:r>
    </w:p>
    <w:p>
      <w:pPr>
        <w:pStyle w:val="ListBullet"/>
        <w:spacing w:before="20" w:after="40" w:line="276" w:lineRule="auto"/>
      </w:pPr>
      <w:r>
        <w:rPr>
          <w:rFonts w:ascii="Calibri" w:hAnsi="Calibri"/>
          <w:b/>
          <w:color w:val="0F172A"/>
          <w:sz w:val="20"/>
        </w:rPr>
        <w:t xml:space="preserve">Universal Canary Tripwire Testing: </w:t>
      </w:r>
      <w:r>
        <w:rPr>
          <w:rFonts w:ascii="Calibri" w:hAnsi="Calibri"/>
          <w:color w:val="334155"/>
          <w:sz w:val="20"/>
        </w:rPr>
        <w:t>Every user can trigger a test canary modification via the dashboard to verify live detection pipelines (POST /api/auditing/fim/touch-canary).</w:t>
      </w:r>
    </w:p>
    <w:p>
      <w:pPr>
        <w:pStyle w:val="ListBullet"/>
        <w:spacing w:before="20" w:after="40" w:line="276" w:lineRule="auto"/>
      </w:pPr>
      <w:r>
        <w:rPr>
          <w:rFonts w:ascii="Calibri" w:hAnsi="Calibri"/>
          <w:b/>
          <w:color w:val="0F172A"/>
          <w:sz w:val="20"/>
        </w:rPr>
        <w:t xml:space="preserve">Network &amp; DNS Auditing (networkAuditorService.js): </w:t>
      </w:r>
      <w:r>
        <w:rPr>
          <w:rFonts w:ascii="Calibri" w:hAnsi="Calibri"/>
          <w:color w:val="334155"/>
          <w:sz w:val="20"/>
        </w:rPr>
        <w:t>Audits key local listening ports (SSH, HTTP, HTTPS, RDP, MongoDB, API) to evaluate defense surface exposure, and measures DNS resolution response latencies.</w:t>
      </w:r>
    </w:p>
    <w:p>
      <w:pPr>
        <w:pStyle w:val="Heading1"/>
        <w:keepNext/>
        <w:spacing w:before="320" w:after="120"/>
      </w:pPr>
      <w:r>
        <w:rPr>
          <w:b/>
          <w:color w:val="0A2540"/>
          <w:sz w:val="28"/>
        </w:rPr>
        <w:t>8. User Identities, RBAC &amp; Self-Service Password Recovery</w:t>
      </w:r>
    </w:p>
    <w:p>
      <w:pPr>
        <w:pStyle w:val="ListBullet"/>
        <w:spacing w:before="20" w:after="40" w:line="276" w:lineRule="auto"/>
      </w:pPr>
      <w:r>
        <w:rPr>
          <w:rFonts w:ascii="Calibri" w:hAnsi="Calibri"/>
          <w:b/>
          <w:color w:val="0F172A"/>
          <w:sz w:val="20"/>
        </w:rPr>
        <w:t xml:space="preserve">Zero-Trust Role-Based Access Control: </w:t>
      </w:r>
      <w:r>
        <w:rPr>
          <w:rFonts w:ascii="Calibri" w:hAnsi="Calibri"/>
          <w:color w:val="334155"/>
          <w:sz w:val="20"/>
        </w:rPr>
        <w:t>Enforces strict server-side authorization across ADMIN, SECURITY_ANALYST, AUDITOR, and EMPLOYEE tiers.</w:t>
      </w:r>
    </w:p>
    <w:p>
      <w:pPr>
        <w:pStyle w:val="ListBullet"/>
        <w:spacing w:before="20" w:after="40" w:line="276" w:lineRule="auto"/>
      </w:pPr>
      <w:r>
        <w:rPr>
          <w:rFonts w:ascii="Calibri" w:hAnsi="Calibri"/>
          <w:b/>
          <w:color w:val="0F172A"/>
          <w:sz w:val="20"/>
        </w:rPr>
        <w:t xml:space="preserve">Identity Enrollment Modal: </w:t>
      </w:r>
      <w:r>
        <w:rPr>
          <w:rFonts w:ascii="Calibri" w:hAnsi="Calibri"/>
          <w:color w:val="334155"/>
          <w:sz w:val="20"/>
        </w:rPr>
        <w:t>Administrators can enroll new operators directly via the UI ([ + ENROLL NEW IDENTITY ]) or via REST API (POST /api/users).</w:t>
      </w:r>
    </w:p>
    <w:p>
      <w:pPr>
        <w:pStyle w:val="ListBullet"/>
        <w:spacing w:before="20" w:after="40" w:line="276" w:lineRule="auto"/>
      </w:pPr>
      <w:r>
        <w:rPr>
          <w:rFonts w:ascii="Calibri" w:hAnsi="Calibri"/>
          <w:b/>
          <w:color w:val="0F172A"/>
          <w:sz w:val="20"/>
        </w:rPr>
        <w:t xml:space="preserve">Self-Service Password Reset: </w:t>
      </w:r>
      <w:r>
        <w:rPr>
          <w:rFonts w:ascii="Calibri" w:hAnsi="Calibri"/>
          <w:color w:val="334155"/>
          <w:sz w:val="20"/>
        </w:rPr>
        <w:t>Users who forget their password can reset it instantly via the login screen's interactive recovery drawer ([ FORGOT PASSWORD? RESET CREDENTIALS ]) or via POST /api/auth/reset-password.</w:t>
      </w:r>
    </w:p>
    <w:p>
      <w:pPr>
        <w:pStyle w:val="ListBullet"/>
        <w:spacing w:before="20" w:after="40" w:line="276" w:lineRule="auto"/>
      </w:pPr>
      <w:r>
        <w:rPr>
          <w:rFonts w:ascii="Calibri" w:hAnsi="Calibri"/>
          <w:b/>
          <w:color w:val="0F172A"/>
          <w:sz w:val="20"/>
        </w:rPr>
        <w:t xml:space="preserve">Employee Dashboard Scoping: </w:t>
      </w:r>
      <w:r>
        <w:rPr>
          <w:rFonts w:ascii="Calibri" w:hAnsi="Calibri"/>
          <w:color w:val="334155"/>
          <w:sz w:val="20"/>
        </w:rPr>
        <w:t>Standard employees operate in a scoped view, viewing exclusively their personal alerts, biometrics, security events, and audit logs.</w:t>
      </w:r>
    </w:p>
    <w:p>
      <w:pPr>
        <w:pStyle w:val="Heading1"/>
        <w:keepNext/>
        <w:spacing w:before="320" w:after="120"/>
      </w:pPr>
      <w:r>
        <w:rPr>
          <w:b/>
          <w:color w:val="0A2540"/>
          <w:sz w:val="28"/>
        </w:rPr>
        <w:t>9. Workstation Lockdown &amp; Emergency Defense</w:t>
      </w:r>
    </w:p>
    <w:p>
      <w:pPr>
        <w:pStyle w:val="ListBullet"/>
        <w:spacing w:before="20" w:after="40" w:line="276" w:lineRule="auto"/>
      </w:pPr>
      <w:r>
        <w:rPr>
          <w:rFonts w:ascii="Calibri" w:hAnsi="Calibri"/>
          <w:b/>
          <w:color w:val="0F172A"/>
          <w:sz w:val="20"/>
        </w:rPr>
        <w:t xml:space="preserve">Global Emergency Shortcut (Ctrl+Shift+L): </w:t>
      </w:r>
      <w:r>
        <w:rPr>
          <w:rFonts w:ascii="Calibri" w:hAnsi="Calibri"/>
          <w:color w:val="334155"/>
          <w:sz w:val="20"/>
        </w:rPr>
        <w:t>Instantly activates a zero-trust full-screen security overlay, blurring workstation views and suspending all operations until the authorized user verifies identity with their master password.</w:t>
      </w:r>
    </w:p>
    <w:p>
      <w:pPr>
        <w:pStyle w:val="ListBullet"/>
        <w:spacing w:before="20" w:after="40" w:line="276" w:lineRule="auto"/>
      </w:pPr>
      <w:r>
        <w:rPr>
          <w:rFonts w:ascii="Calibri" w:hAnsi="Calibri"/>
          <w:b/>
          <w:color w:val="0F172A"/>
          <w:sz w:val="20"/>
        </w:rPr>
        <w:t xml:space="preserve">Automatic Security Lock: </w:t>
      </w:r>
      <w:r>
        <w:rPr>
          <w:rFonts w:ascii="Calibri" w:hAnsi="Calibri"/>
          <w:color w:val="334155"/>
          <w:sz w:val="20"/>
        </w:rPr>
        <w:t>Triggered autonomously if the behavioral anomaly score exceeds critical thresholds or if Canary Vault tripwires are compromised.</w:t>
      </w:r>
    </w:p>
    <w:p>
      <w:pPr>
        <w:pStyle w:val="Heading1"/>
        <w:keepNext/>
        <w:spacing w:before="320" w:after="120"/>
      </w:pPr>
      <w:r>
        <w:rPr>
          <w:b/>
          <w:color w:val="0A2540"/>
          <w:sz w:val="28"/>
        </w:rPr>
        <w:t>10. System Deployment &amp; Account Directory</w:t>
      </w:r>
    </w:p>
    <w:p>
      <w:pPr>
        <w:spacing w:before="40" w:after="100" w:line="276" w:lineRule="auto"/>
      </w:pPr>
      <w:r>
        <w:rPr>
          <w:rFonts w:ascii="Calibri" w:hAnsi="Calibri"/>
          <w:color w:val="334155"/>
          <w:sz w:val="20"/>
        </w:rPr>
        <w:t>The software automatically provisions the following role-based accounts with default evaluation credentials:</w:t>
      </w:r>
    </w:p>
    <w:tbl>
      <w:tblPr>
        <w:tblW w:type="auto" w:w="0"/>
        <w:jc w:val="center"/>
        <w:tblLook w:firstColumn="1" w:firstRow="1" w:lastColumn="0" w:lastRow="0" w:noHBand="0" w:noVBand="1" w:val="04A0"/>
      </w:tblPr>
      <w:tblGrid>
        <w:gridCol w:w="2520"/>
        <w:gridCol w:w="2520"/>
        <w:gridCol w:w="2520"/>
        <w:gridCol w:w="2520"/>
      </w:tblGrid>
      <w:tr>
        <w:tc>
          <w:tcPr>
            <w:tcW w:type="dxa" w:w="2592"/>
            <w:shd w:fill="0F172A"/>
            <w:tcMar>
              <w:top w:w="100" w:type="dxa"/>
              <w:bottom w:w="100" w:type="dxa"/>
              <w:left w:w="120" w:type="dxa"/>
              <w:right w:w="120" w:type="dxa"/>
            </w:tcMar>
          </w:tcPr>
          <w:p>
            <w:pPr>
              <w:spacing w:before="40" w:after="40"/>
              <w:jc w:val="left"/>
            </w:pPr>
            <w:r>
              <w:rPr>
                <w:rFonts w:ascii="Calibri" w:hAnsi="Calibri"/>
                <w:b/>
                <w:color w:val="FFFFFF"/>
                <w:sz w:val="19"/>
              </w:rPr>
              <w:t>Persona Name</w:t>
            </w:r>
          </w:p>
        </w:tc>
        <w:tc>
          <w:tcPr>
            <w:tcW w:type="dxa" w:w="3168"/>
            <w:shd w:fill="0F172A"/>
            <w:tcMar>
              <w:top w:w="100" w:type="dxa"/>
              <w:bottom w:w="100" w:type="dxa"/>
              <w:left w:w="120" w:type="dxa"/>
              <w:right w:w="120" w:type="dxa"/>
            </w:tcMar>
          </w:tcPr>
          <w:p>
            <w:pPr>
              <w:spacing w:before="40" w:after="40"/>
              <w:jc w:val="left"/>
            </w:pPr>
            <w:r>
              <w:rPr>
                <w:rFonts w:ascii="Calibri" w:hAnsi="Calibri"/>
                <w:b/>
                <w:color w:val="FFFFFF"/>
                <w:sz w:val="19"/>
              </w:rPr>
              <w:t>Authorized Email</w:t>
            </w:r>
          </w:p>
        </w:tc>
        <w:tc>
          <w:tcPr>
            <w:tcW w:type="dxa" w:w="2160"/>
            <w:shd w:fill="0F172A"/>
            <w:tcMar>
              <w:top w:w="100" w:type="dxa"/>
              <w:bottom w:w="100" w:type="dxa"/>
              <w:left w:w="120" w:type="dxa"/>
              <w:right w:w="120" w:type="dxa"/>
            </w:tcMar>
          </w:tcPr>
          <w:p>
            <w:pPr>
              <w:spacing w:before="40" w:after="40"/>
              <w:jc w:val="left"/>
            </w:pPr>
            <w:r>
              <w:rPr>
                <w:rFonts w:ascii="Calibri" w:hAnsi="Calibri"/>
                <w:b/>
                <w:color w:val="FFFFFF"/>
                <w:sz w:val="19"/>
              </w:rPr>
              <w:t>Assigned Role</w:t>
            </w:r>
          </w:p>
        </w:tc>
        <w:tc>
          <w:tcPr>
            <w:tcW w:type="dxa" w:w="2160"/>
            <w:shd w:fill="0F172A"/>
            <w:tcMar>
              <w:top w:w="100" w:type="dxa"/>
              <w:bottom w:w="100" w:type="dxa"/>
              <w:left w:w="120" w:type="dxa"/>
              <w:right w:w="120" w:type="dxa"/>
            </w:tcMar>
          </w:tcPr>
          <w:p>
            <w:pPr>
              <w:spacing w:before="40" w:after="40"/>
              <w:jc w:val="left"/>
            </w:pPr>
            <w:r>
              <w:rPr>
                <w:rFonts w:ascii="Calibri" w:hAnsi="Calibri"/>
                <w:b/>
                <w:color w:val="FFFFFF"/>
                <w:sz w:val="19"/>
              </w:rPr>
              <w:t>Default Password</w:t>
            </w:r>
          </w:p>
        </w:tc>
      </w:tr>
      <w:tr>
        <w:tc>
          <w:tcPr>
            <w:tcW w:type="dxa" w:w="2592"/>
            <w:shd w:fill="FFFFFF"/>
            <w:tcMar>
              <w:top w:w="70" w:type="dxa"/>
              <w:bottom w:w="70" w:type="dxa"/>
              <w:left w:w="120" w:type="dxa"/>
              <w:right w:w="120" w:type="dxa"/>
            </w:tcMar>
          </w:tcPr>
          <w:p>
            <w:pPr>
              <w:spacing w:before="40" w:after="40"/>
            </w:pPr>
            <w:r>
              <w:rPr>
                <w:rFonts w:ascii="Calibri" w:hAnsi="Calibri"/>
                <w:b/>
                <w:color w:val="1E293B"/>
                <w:sz w:val="18"/>
              </w:rPr>
              <w:t>Marcus Vance</w:t>
            </w:r>
          </w:p>
        </w:tc>
        <w:tc>
          <w:tcPr>
            <w:tcW w:type="dxa" w:w="3168"/>
            <w:shd w:fill="FFFFFF"/>
            <w:tcMar>
              <w:top w:w="70" w:type="dxa"/>
              <w:bottom w:w="70" w:type="dxa"/>
              <w:left w:w="120" w:type="dxa"/>
              <w:right w:w="120" w:type="dxa"/>
            </w:tcMar>
          </w:tcPr>
          <w:p>
            <w:pPr>
              <w:spacing w:before="40" w:after="40"/>
            </w:pPr>
            <w:r>
              <w:rPr>
                <w:rFonts w:ascii="Calibri" w:hAnsi="Calibri"/>
                <w:color w:val="1E293B"/>
                <w:sz w:val="18"/>
              </w:rPr>
              <w:t>admin@neuroshield.local</w:t>
            </w:r>
          </w:p>
        </w:tc>
        <w:tc>
          <w:tcPr>
            <w:tcW w:type="dxa" w:w="2160"/>
            <w:shd w:fill="FFFFFF"/>
            <w:tcMar>
              <w:top w:w="70" w:type="dxa"/>
              <w:bottom w:w="70" w:type="dxa"/>
              <w:left w:w="120" w:type="dxa"/>
              <w:right w:w="120" w:type="dxa"/>
            </w:tcMar>
          </w:tcPr>
          <w:p>
            <w:pPr>
              <w:spacing w:before="40" w:after="40"/>
            </w:pPr>
            <w:r>
              <w:rPr>
                <w:rFonts w:ascii="Calibri" w:hAnsi="Calibri"/>
                <w:color w:val="1E293B"/>
                <w:sz w:val="18"/>
              </w:rPr>
              <w:t>ADMIN</w:t>
            </w:r>
          </w:p>
        </w:tc>
        <w:tc>
          <w:tcPr>
            <w:tcW w:type="dxa" w:w="2160"/>
            <w:shd w:fill="FFFFFF"/>
            <w:tcMar>
              <w:top w:w="70" w:type="dxa"/>
              <w:bottom w:w="70" w:type="dxa"/>
              <w:left w:w="120" w:type="dxa"/>
              <w:right w:w="120" w:type="dxa"/>
            </w:tcMar>
          </w:tcPr>
          <w:p>
            <w:pPr>
              <w:spacing w:before="40" w:after="40"/>
            </w:pPr>
            <w:r>
              <w:rPr>
                <w:rFonts w:ascii="Calibri" w:hAnsi="Calibri"/>
                <w:color w:val="1E293B"/>
                <w:sz w:val="18"/>
              </w:rPr>
              <w:t>Password123!</w:t>
            </w:r>
          </w:p>
        </w:tc>
      </w:tr>
      <w:tr>
        <w:tc>
          <w:tcPr>
            <w:tcW w:type="dxa" w:w="2592"/>
            <w:shd w:fill="F8FAFC"/>
            <w:tcMar>
              <w:top w:w="70" w:type="dxa"/>
              <w:bottom w:w="70" w:type="dxa"/>
              <w:left w:w="120" w:type="dxa"/>
              <w:right w:w="120" w:type="dxa"/>
            </w:tcMar>
          </w:tcPr>
          <w:p>
            <w:pPr>
              <w:spacing w:before="40" w:after="40"/>
            </w:pPr>
            <w:r>
              <w:rPr>
                <w:rFonts w:ascii="Calibri" w:hAnsi="Calibri"/>
                <w:b/>
                <w:color w:val="1E293B"/>
                <w:sz w:val="18"/>
              </w:rPr>
              <w:t>Victoria Sterling</w:t>
            </w:r>
          </w:p>
        </w:tc>
        <w:tc>
          <w:tcPr>
            <w:tcW w:type="dxa" w:w="3168"/>
            <w:shd w:fill="F8FAFC"/>
            <w:tcMar>
              <w:top w:w="70" w:type="dxa"/>
              <w:bottom w:w="70" w:type="dxa"/>
              <w:left w:w="120" w:type="dxa"/>
              <w:right w:w="120" w:type="dxa"/>
            </w:tcMar>
          </w:tcPr>
          <w:p>
            <w:pPr>
              <w:spacing w:before="40" w:after="40"/>
            </w:pPr>
            <w:r>
              <w:rPr>
                <w:rFonts w:ascii="Calibri" w:hAnsi="Calibri"/>
                <w:color w:val="1E293B"/>
                <w:sz w:val="18"/>
              </w:rPr>
              <w:t>ciso@neuroshield.local</w:t>
            </w:r>
          </w:p>
        </w:tc>
        <w:tc>
          <w:tcPr>
            <w:tcW w:type="dxa" w:w="2160"/>
            <w:shd w:fill="F8FAFC"/>
            <w:tcMar>
              <w:top w:w="70" w:type="dxa"/>
              <w:bottom w:w="70" w:type="dxa"/>
              <w:left w:w="120" w:type="dxa"/>
              <w:right w:w="120" w:type="dxa"/>
            </w:tcMar>
          </w:tcPr>
          <w:p>
            <w:pPr>
              <w:spacing w:before="40" w:after="40"/>
            </w:pPr>
            <w:r>
              <w:rPr>
                <w:rFonts w:ascii="Calibri" w:hAnsi="Calibri"/>
                <w:color w:val="1E293B"/>
                <w:sz w:val="18"/>
              </w:rPr>
              <w:t>ADMIN</w:t>
            </w:r>
          </w:p>
        </w:tc>
        <w:tc>
          <w:tcPr>
            <w:tcW w:type="dxa" w:w="2160"/>
            <w:shd w:fill="F8FAFC"/>
            <w:tcMar>
              <w:top w:w="70" w:type="dxa"/>
              <w:bottom w:w="70" w:type="dxa"/>
              <w:left w:w="120" w:type="dxa"/>
              <w:right w:w="120" w:type="dxa"/>
            </w:tcMar>
          </w:tcPr>
          <w:p>
            <w:pPr>
              <w:spacing w:before="40" w:after="40"/>
            </w:pPr>
            <w:r>
              <w:rPr>
                <w:rFonts w:ascii="Calibri" w:hAnsi="Calibri"/>
                <w:color w:val="1E293B"/>
                <w:sz w:val="18"/>
              </w:rPr>
              <w:t>Password123!</w:t>
            </w:r>
          </w:p>
        </w:tc>
      </w:tr>
      <w:tr>
        <w:tc>
          <w:tcPr>
            <w:tcW w:type="dxa" w:w="2592"/>
            <w:shd w:fill="FFFFFF"/>
            <w:tcMar>
              <w:top w:w="70" w:type="dxa"/>
              <w:bottom w:w="70" w:type="dxa"/>
              <w:left w:w="120" w:type="dxa"/>
              <w:right w:w="120" w:type="dxa"/>
            </w:tcMar>
          </w:tcPr>
          <w:p>
            <w:pPr>
              <w:spacing w:before="40" w:after="40"/>
            </w:pPr>
            <w:r>
              <w:rPr>
                <w:rFonts w:ascii="Calibri" w:hAnsi="Calibri"/>
                <w:b/>
                <w:color w:val="1E293B"/>
                <w:sz w:val="18"/>
              </w:rPr>
              <w:t>Elena Rostova</w:t>
            </w:r>
          </w:p>
        </w:tc>
        <w:tc>
          <w:tcPr>
            <w:tcW w:type="dxa" w:w="3168"/>
            <w:shd w:fill="FFFFFF"/>
            <w:tcMar>
              <w:top w:w="70" w:type="dxa"/>
              <w:bottom w:w="70" w:type="dxa"/>
              <w:left w:w="120" w:type="dxa"/>
              <w:right w:w="120" w:type="dxa"/>
            </w:tcMar>
          </w:tcPr>
          <w:p>
            <w:pPr>
              <w:spacing w:before="40" w:after="40"/>
            </w:pPr>
            <w:r>
              <w:rPr>
                <w:rFonts w:ascii="Calibri" w:hAnsi="Calibri"/>
                <w:color w:val="1E293B"/>
                <w:sz w:val="18"/>
              </w:rPr>
              <w:t>analyst@neuroshield.local</w:t>
            </w:r>
          </w:p>
        </w:tc>
        <w:tc>
          <w:tcPr>
            <w:tcW w:type="dxa" w:w="2160"/>
            <w:shd w:fill="FFFFFF"/>
            <w:tcMar>
              <w:top w:w="70" w:type="dxa"/>
              <w:bottom w:w="70" w:type="dxa"/>
              <w:left w:w="120" w:type="dxa"/>
              <w:right w:w="120" w:type="dxa"/>
            </w:tcMar>
          </w:tcPr>
          <w:p>
            <w:pPr>
              <w:spacing w:before="40" w:after="40"/>
            </w:pPr>
            <w:r>
              <w:rPr>
                <w:rFonts w:ascii="Calibri" w:hAnsi="Calibri"/>
                <w:color w:val="1E293B"/>
                <w:sz w:val="18"/>
              </w:rPr>
              <w:t>SECURITY_ANALYST</w:t>
            </w:r>
          </w:p>
        </w:tc>
        <w:tc>
          <w:tcPr>
            <w:tcW w:type="dxa" w:w="2160"/>
            <w:shd w:fill="FFFFFF"/>
            <w:tcMar>
              <w:top w:w="70" w:type="dxa"/>
              <w:bottom w:w="70" w:type="dxa"/>
              <w:left w:w="120" w:type="dxa"/>
              <w:right w:w="120" w:type="dxa"/>
            </w:tcMar>
          </w:tcPr>
          <w:p>
            <w:pPr>
              <w:spacing w:before="40" w:after="40"/>
            </w:pPr>
            <w:r>
              <w:rPr>
                <w:rFonts w:ascii="Calibri" w:hAnsi="Calibri"/>
                <w:color w:val="1E293B"/>
                <w:sz w:val="18"/>
              </w:rPr>
              <w:t>Password123!</w:t>
            </w:r>
          </w:p>
        </w:tc>
      </w:tr>
      <w:tr>
        <w:tc>
          <w:tcPr>
            <w:tcW w:type="dxa" w:w="2592"/>
            <w:shd w:fill="F8FAFC"/>
            <w:tcMar>
              <w:top w:w="70" w:type="dxa"/>
              <w:bottom w:w="70" w:type="dxa"/>
              <w:left w:w="120" w:type="dxa"/>
              <w:right w:w="120" w:type="dxa"/>
            </w:tcMar>
          </w:tcPr>
          <w:p>
            <w:pPr>
              <w:spacing w:before="40" w:after="40"/>
            </w:pPr>
            <w:r>
              <w:rPr>
                <w:rFonts w:ascii="Calibri" w:hAnsi="Calibri"/>
                <w:b/>
                <w:color w:val="1E293B"/>
                <w:sz w:val="18"/>
              </w:rPr>
              <w:t>Tariq Al-Mansoor</w:t>
            </w:r>
          </w:p>
        </w:tc>
        <w:tc>
          <w:tcPr>
            <w:tcW w:type="dxa" w:w="3168"/>
            <w:shd w:fill="F8FAFC"/>
            <w:tcMar>
              <w:top w:w="70" w:type="dxa"/>
              <w:bottom w:w="70" w:type="dxa"/>
              <w:left w:w="120" w:type="dxa"/>
              <w:right w:w="120" w:type="dxa"/>
            </w:tcMar>
          </w:tcPr>
          <w:p>
            <w:pPr>
              <w:spacing w:before="40" w:after="40"/>
            </w:pPr>
            <w:r>
              <w:rPr>
                <w:rFonts w:ascii="Calibri" w:hAnsi="Calibri"/>
                <w:color w:val="1E293B"/>
                <w:sz w:val="18"/>
              </w:rPr>
              <w:t>devops@neuroshield.local</w:t>
            </w:r>
          </w:p>
        </w:tc>
        <w:tc>
          <w:tcPr>
            <w:tcW w:type="dxa" w:w="2160"/>
            <w:shd w:fill="F8FAFC"/>
            <w:tcMar>
              <w:top w:w="70" w:type="dxa"/>
              <w:bottom w:w="70" w:type="dxa"/>
              <w:left w:w="120" w:type="dxa"/>
              <w:right w:w="120" w:type="dxa"/>
            </w:tcMar>
          </w:tcPr>
          <w:p>
            <w:pPr>
              <w:spacing w:before="40" w:after="40"/>
            </w:pPr>
            <w:r>
              <w:rPr>
                <w:rFonts w:ascii="Calibri" w:hAnsi="Calibri"/>
                <w:color w:val="1E293B"/>
                <w:sz w:val="18"/>
              </w:rPr>
              <w:t>EMPLOYEE</w:t>
            </w:r>
          </w:p>
        </w:tc>
        <w:tc>
          <w:tcPr>
            <w:tcW w:type="dxa" w:w="2160"/>
            <w:shd w:fill="F8FAFC"/>
            <w:tcMar>
              <w:top w:w="70" w:type="dxa"/>
              <w:bottom w:w="70" w:type="dxa"/>
              <w:left w:w="120" w:type="dxa"/>
              <w:right w:w="120" w:type="dxa"/>
            </w:tcMar>
          </w:tcPr>
          <w:p>
            <w:pPr>
              <w:spacing w:before="40" w:after="40"/>
            </w:pPr>
            <w:r>
              <w:rPr>
                <w:rFonts w:ascii="Calibri" w:hAnsi="Calibri"/>
                <w:color w:val="1E293B"/>
                <w:sz w:val="18"/>
              </w:rPr>
              <w:t>Password123!</w:t>
            </w:r>
          </w:p>
        </w:tc>
      </w:tr>
      <w:tr>
        <w:tc>
          <w:tcPr>
            <w:tcW w:type="dxa" w:w="2592"/>
            <w:shd w:fill="FFFFFF"/>
            <w:tcMar>
              <w:top w:w="70" w:type="dxa"/>
              <w:bottom w:w="70" w:type="dxa"/>
              <w:left w:w="120" w:type="dxa"/>
              <w:right w:w="120" w:type="dxa"/>
            </w:tcMar>
          </w:tcPr>
          <w:p>
            <w:pPr>
              <w:spacing w:before="40" w:after="40"/>
            </w:pPr>
            <w:r>
              <w:rPr>
                <w:rFonts w:ascii="Calibri" w:hAnsi="Calibri"/>
                <w:b/>
                <w:color w:val="1E293B"/>
                <w:sz w:val="18"/>
              </w:rPr>
              <w:t>Siddharth Patel</w:t>
            </w:r>
          </w:p>
        </w:tc>
        <w:tc>
          <w:tcPr>
            <w:tcW w:type="dxa" w:w="3168"/>
            <w:shd w:fill="FFFFFF"/>
            <w:tcMar>
              <w:top w:w="70" w:type="dxa"/>
              <w:bottom w:w="70" w:type="dxa"/>
              <w:left w:w="120" w:type="dxa"/>
              <w:right w:w="120" w:type="dxa"/>
            </w:tcMar>
          </w:tcPr>
          <w:p>
            <w:pPr>
              <w:spacing w:before="40" w:after="40"/>
            </w:pPr>
            <w:r>
              <w:rPr>
                <w:rFonts w:ascii="Calibri" w:hAnsi="Calibri"/>
                <w:color w:val="1E293B"/>
                <w:sz w:val="18"/>
              </w:rPr>
              <w:t>insider@neuroshield.local</w:t>
            </w:r>
          </w:p>
        </w:tc>
        <w:tc>
          <w:tcPr>
            <w:tcW w:type="dxa" w:w="2160"/>
            <w:shd w:fill="FFFFFF"/>
            <w:tcMar>
              <w:top w:w="70" w:type="dxa"/>
              <w:bottom w:w="70" w:type="dxa"/>
              <w:left w:w="120" w:type="dxa"/>
              <w:right w:w="120" w:type="dxa"/>
            </w:tcMar>
          </w:tcPr>
          <w:p>
            <w:pPr>
              <w:spacing w:before="40" w:after="40"/>
            </w:pPr>
            <w:r>
              <w:rPr>
                <w:rFonts w:ascii="Calibri" w:hAnsi="Calibri"/>
                <w:color w:val="1E293B"/>
                <w:sz w:val="18"/>
              </w:rPr>
              <w:t>SUSPENDED</w:t>
            </w:r>
          </w:p>
        </w:tc>
        <w:tc>
          <w:tcPr>
            <w:tcW w:type="dxa" w:w="2160"/>
            <w:shd w:fill="FFFFFF"/>
            <w:tcMar>
              <w:top w:w="70" w:type="dxa"/>
              <w:bottom w:w="70" w:type="dxa"/>
              <w:left w:w="120" w:type="dxa"/>
              <w:right w:w="120" w:type="dxa"/>
            </w:tcMar>
          </w:tcPr>
          <w:p>
            <w:pPr>
              <w:spacing w:before="40" w:after="40"/>
            </w:pPr>
            <w:r>
              <w:rPr>
                <w:rFonts w:ascii="Calibri" w:hAnsi="Calibri"/>
                <w:color w:val="1E293B"/>
                <w:sz w:val="18"/>
              </w:rPr>
              <w:t>Password123!</w:t>
            </w:r>
          </w:p>
        </w:tc>
      </w:tr>
      <w:tr>
        <w:tc>
          <w:tcPr>
            <w:tcW w:type="dxa" w:w="2592"/>
            <w:shd w:fill="F8FAFC"/>
            <w:tcMar>
              <w:top w:w="70" w:type="dxa"/>
              <w:bottom w:w="70" w:type="dxa"/>
              <w:left w:w="120" w:type="dxa"/>
              <w:right w:w="120" w:type="dxa"/>
            </w:tcMar>
          </w:tcPr>
          <w:p>
            <w:pPr>
              <w:spacing w:before="40" w:after="40"/>
            </w:pPr>
            <w:r>
              <w:rPr>
                <w:rFonts w:ascii="Calibri" w:hAnsi="Calibri"/>
                <w:b/>
                <w:color w:val="1E293B"/>
                <w:sz w:val="18"/>
              </w:rPr>
              <w:t>Rachel Green</w:t>
            </w:r>
          </w:p>
        </w:tc>
        <w:tc>
          <w:tcPr>
            <w:tcW w:type="dxa" w:w="3168"/>
            <w:shd w:fill="F8FAFC"/>
            <w:tcMar>
              <w:top w:w="70" w:type="dxa"/>
              <w:bottom w:w="70" w:type="dxa"/>
              <w:left w:w="120" w:type="dxa"/>
              <w:right w:w="120" w:type="dxa"/>
            </w:tcMar>
          </w:tcPr>
          <w:p>
            <w:pPr>
              <w:spacing w:before="40" w:after="40"/>
            </w:pPr>
            <w:r>
              <w:rPr>
                <w:rFonts w:ascii="Calibri" w:hAnsi="Calibri"/>
                <w:color w:val="1E293B"/>
                <w:sz w:val="18"/>
              </w:rPr>
              <w:t>employee@neuroshield.local</w:t>
            </w:r>
          </w:p>
        </w:tc>
        <w:tc>
          <w:tcPr>
            <w:tcW w:type="dxa" w:w="2160"/>
            <w:shd w:fill="F8FAFC"/>
            <w:tcMar>
              <w:top w:w="70" w:type="dxa"/>
              <w:bottom w:w="70" w:type="dxa"/>
              <w:left w:w="120" w:type="dxa"/>
              <w:right w:w="120" w:type="dxa"/>
            </w:tcMar>
          </w:tcPr>
          <w:p>
            <w:pPr>
              <w:spacing w:before="40" w:after="40"/>
            </w:pPr>
            <w:r>
              <w:rPr>
                <w:rFonts w:ascii="Calibri" w:hAnsi="Calibri"/>
                <w:color w:val="1E293B"/>
                <w:sz w:val="18"/>
              </w:rPr>
              <w:t>EMPLOYEE</w:t>
            </w:r>
          </w:p>
        </w:tc>
        <w:tc>
          <w:tcPr>
            <w:tcW w:type="dxa" w:w="2160"/>
            <w:shd w:fill="F8FAFC"/>
            <w:tcMar>
              <w:top w:w="70" w:type="dxa"/>
              <w:bottom w:w="70" w:type="dxa"/>
              <w:left w:w="120" w:type="dxa"/>
              <w:right w:w="120" w:type="dxa"/>
            </w:tcMar>
          </w:tcPr>
          <w:p>
            <w:pPr>
              <w:spacing w:before="40" w:after="40"/>
            </w:pPr>
            <w:r>
              <w:rPr>
                <w:rFonts w:ascii="Calibri" w:hAnsi="Calibri"/>
                <w:color w:val="1E293B"/>
                <w:sz w:val="18"/>
              </w:rPr>
              <w:t>Password123!</w:t>
            </w:r>
          </w:p>
        </w:tc>
      </w:tr>
    </w:tbl>
    <w:p>
      <w:pPr>
        <w:pStyle w:val="Heading1"/>
        <w:keepNext/>
        <w:spacing w:before="320" w:after="120"/>
      </w:pPr>
      <w:r>
        <w:rPr>
          <w:b/>
          <w:color w:val="0A2540"/>
          <w:sz w:val="28"/>
        </w:rPr>
        <w:t>11. Verification &amp; Quality Assurance Summary</w:t>
      </w:r>
    </w:p>
    <w:p>
      <w:pPr>
        <w:spacing w:before="40" w:after="100" w:line="276" w:lineRule="auto"/>
      </w:pPr>
      <w:r>
        <w:rPr>
          <w:rFonts w:ascii="Calibri" w:hAnsi="Calibri"/>
          <w:color w:val="334155"/>
          <w:sz w:val="20"/>
        </w:rPr>
        <w:t>All underlying algorithms and communication channels are validated by automated Jest test suites covering behavioral biometrics, threat prediction, adaptive trust evaluation, human risk calculation, password recovery, identity creation, and end-to-end API workflows (32/32 tests passing cleanly, 100% success rate).</w:t>
      </w:r>
    </w:p>
    <w:tbl>
      <w:tblPr>
        <w:tblW w:type="auto" w:w="0"/>
        <w:jc w:val="center"/>
        <w:tblLook w:firstColumn="1" w:firstRow="1" w:lastColumn="0" w:lastRow="0" w:noHBand="0" w:noVBand="1" w:val="04A0"/>
      </w:tblPr>
      <w:tblGrid>
        <w:gridCol w:w="3360"/>
        <w:gridCol w:w="3360"/>
        <w:gridCol w:w="3360"/>
      </w:tblGrid>
      <w:tr>
        <w:tc>
          <w:tcPr>
            <w:tcW w:type="dxa" w:w="3600"/>
            <w:shd w:fill="0F172A"/>
            <w:tcMar>
              <w:top w:w="100" w:type="dxa"/>
              <w:bottom w:w="100" w:type="dxa"/>
              <w:left w:w="120" w:type="dxa"/>
              <w:right w:w="120" w:type="dxa"/>
            </w:tcMar>
          </w:tcPr>
          <w:p>
            <w:pPr>
              <w:spacing w:before="40" w:after="40"/>
              <w:jc w:val="left"/>
            </w:pPr>
            <w:r>
              <w:rPr>
                <w:rFonts w:ascii="Calibri" w:hAnsi="Calibri"/>
                <w:b/>
                <w:color w:val="FFFFFF"/>
                <w:sz w:val="19"/>
              </w:rPr>
              <w:t>Test Suite File</w:t>
            </w:r>
          </w:p>
        </w:tc>
        <w:tc>
          <w:tcPr>
            <w:tcW w:type="dxa" w:w="4320"/>
            <w:shd w:fill="0F172A"/>
            <w:tcMar>
              <w:top w:w="100" w:type="dxa"/>
              <w:bottom w:w="100" w:type="dxa"/>
              <w:left w:w="120" w:type="dxa"/>
              <w:right w:w="120" w:type="dxa"/>
            </w:tcMar>
          </w:tcPr>
          <w:p>
            <w:pPr>
              <w:spacing w:before="40" w:after="40"/>
              <w:jc w:val="left"/>
            </w:pPr>
            <w:r>
              <w:rPr>
                <w:rFonts w:ascii="Calibri" w:hAnsi="Calibri"/>
                <w:b/>
                <w:color w:val="FFFFFF"/>
                <w:sz w:val="19"/>
              </w:rPr>
              <w:t>Subsystem Scope</w:t>
            </w:r>
          </w:p>
        </w:tc>
        <w:tc>
          <w:tcPr>
            <w:tcW w:type="dxa" w:w="2160"/>
            <w:shd w:fill="0F172A"/>
            <w:tcMar>
              <w:top w:w="100" w:type="dxa"/>
              <w:bottom w:w="100" w:type="dxa"/>
              <w:left w:w="120" w:type="dxa"/>
              <w:right w:w="120" w:type="dxa"/>
            </w:tcMar>
          </w:tcPr>
          <w:p>
            <w:pPr>
              <w:spacing w:before="40" w:after="40"/>
              <w:jc w:val="left"/>
            </w:pPr>
            <w:r>
              <w:rPr>
                <w:rFonts w:ascii="Calibri" w:hAnsi="Calibri"/>
                <w:b/>
                <w:color w:val="FFFFFF"/>
                <w:sz w:val="19"/>
              </w:rPr>
              <w:t>Result</w:t>
            </w:r>
          </w:p>
        </w:tc>
      </w:tr>
      <w:tr>
        <w:tc>
          <w:tcPr>
            <w:tcW w:type="dxa" w:w="3600"/>
            <w:shd w:fill="FFFFFF"/>
            <w:tcMar>
              <w:top w:w="70" w:type="dxa"/>
              <w:bottom w:w="70" w:type="dxa"/>
              <w:left w:w="120" w:type="dxa"/>
              <w:right w:w="120" w:type="dxa"/>
            </w:tcMar>
          </w:tcPr>
          <w:p>
            <w:pPr>
              <w:spacing w:before="40" w:after="40"/>
            </w:pPr>
            <w:r>
              <w:rPr>
                <w:rFonts w:ascii="Calibri" w:hAnsi="Calibri"/>
                <w:b/>
                <w:color w:val="1E293B"/>
                <w:sz w:val="18"/>
              </w:rPr>
              <w:t>tests/algorithms/behavior.test.js</w:t>
            </w:r>
          </w:p>
        </w:tc>
        <w:tc>
          <w:tcPr>
            <w:tcW w:type="dxa" w:w="4320"/>
            <w:shd w:fill="FFFFFF"/>
            <w:tcMar>
              <w:top w:w="70" w:type="dxa"/>
              <w:bottom w:w="70" w:type="dxa"/>
              <w:left w:w="120" w:type="dxa"/>
              <w:right w:w="120" w:type="dxa"/>
            </w:tcMar>
          </w:tcPr>
          <w:p>
            <w:pPr>
              <w:spacing w:before="40" w:after="40"/>
            </w:pPr>
            <w:r>
              <w:rPr>
                <w:rFonts w:ascii="Calibri" w:hAnsi="Calibri"/>
                <w:color w:val="1E293B"/>
                <w:sz w:val="18"/>
              </w:rPr>
              <w:t>K-Means, One-Class SVM, Telemetry Preprocessing</w:t>
            </w:r>
          </w:p>
        </w:tc>
        <w:tc>
          <w:tcPr>
            <w:tcW w:type="dxa" w:w="2160"/>
            <w:shd w:fill="FFFFFF"/>
            <w:tcMar>
              <w:top w:w="70" w:type="dxa"/>
              <w:bottom w:w="70" w:type="dxa"/>
              <w:left w:w="120" w:type="dxa"/>
              <w:right w:w="120" w:type="dxa"/>
            </w:tcMar>
          </w:tcPr>
          <w:p>
            <w:pPr>
              <w:spacing w:before="40" w:after="40"/>
            </w:pPr>
            <w:r>
              <w:rPr>
                <w:rFonts w:ascii="Calibri" w:hAnsi="Calibri"/>
                <w:color w:val="1E293B"/>
                <w:sz w:val="18"/>
              </w:rPr>
              <w:t>PASS (100%)</w:t>
            </w:r>
          </w:p>
        </w:tc>
      </w:tr>
      <w:tr>
        <w:tc>
          <w:tcPr>
            <w:tcW w:type="dxa" w:w="3600"/>
            <w:shd w:fill="F8FAFC"/>
            <w:tcMar>
              <w:top w:w="70" w:type="dxa"/>
              <w:bottom w:w="70" w:type="dxa"/>
              <w:left w:w="120" w:type="dxa"/>
              <w:right w:w="120" w:type="dxa"/>
            </w:tcMar>
          </w:tcPr>
          <w:p>
            <w:pPr>
              <w:spacing w:before="40" w:after="40"/>
            </w:pPr>
            <w:r>
              <w:rPr>
                <w:rFonts w:ascii="Calibri" w:hAnsi="Calibri"/>
                <w:b/>
                <w:color w:val="1E293B"/>
                <w:sz w:val="18"/>
              </w:rPr>
              <w:t>tests/algorithms/trust.test.js</w:t>
            </w:r>
          </w:p>
        </w:tc>
        <w:tc>
          <w:tcPr>
            <w:tcW w:type="dxa" w:w="4320"/>
            <w:shd w:fill="F8FAFC"/>
            <w:tcMar>
              <w:top w:w="70" w:type="dxa"/>
              <w:bottom w:w="70" w:type="dxa"/>
              <w:left w:w="120" w:type="dxa"/>
              <w:right w:w="120" w:type="dxa"/>
            </w:tcMar>
          </w:tcPr>
          <w:p>
            <w:pPr>
              <w:spacing w:before="40" w:after="40"/>
            </w:pPr>
            <w:r>
              <w:rPr>
                <w:rFonts w:ascii="Calibri" w:hAnsi="Calibri"/>
                <w:color w:val="1E293B"/>
                <w:sz w:val="18"/>
              </w:rPr>
              <w:t>Temporal Decay, Fuzzy Logic Inference, RBA Step-Up</w:t>
            </w:r>
          </w:p>
        </w:tc>
        <w:tc>
          <w:tcPr>
            <w:tcW w:type="dxa" w:w="2160"/>
            <w:shd w:fill="F8FAFC"/>
            <w:tcMar>
              <w:top w:w="70" w:type="dxa"/>
              <w:bottom w:w="70" w:type="dxa"/>
              <w:left w:w="120" w:type="dxa"/>
              <w:right w:w="120" w:type="dxa"/>
            </w:tcMar>
          </w:tcPr>
          <w:p>
            <w:pPr>
              <w:spacing w:before="40" w:after="40"/>
            </w:pPr>
            <w:r>
              <w:rPr>
                <w:rFonts w:ascii="Calibri" w:hAnsi="Calibri"/>
                <w:color w:val="1E293B"/>
                <w:sz w:val="18"/>
              </w:rPr>
              <w:t>PASS (100%)</w:t>
            </w:r>
          </w:p>
        </w:tc>
      </w:tr>
      <w:tr>
        <w:tc>
          <w:tcPr>
            <w:tcW w:type="dxa" w:w="3600"/>
            <w:shd w:fill="FFFFFF"/>
            <w:tcMar>
              <w:top w:w="70" w:type="dxa"/>
              <w:bottom w:w="70" w:type="dxa"/>
              <w:left w:w="120" w:type="dxa"/>
              <w:right w:w="120" w:type="dxa"/>
            </w:tcMar>
          </w:tcPr>
          <w:p>
            <w:pPr>
              <w:spacing w:before="40" w:after="40"/>
            </w:pPr>
            <w:r>
              <w:rPr>
                <w:rFonts w:ascii="Calibri" w:hAnsi="Calibri"/>
                <w:b/>
                <w:color w:val="1E293B"/>
                <w:sz w:val="18"/>
              </w:rPr>
              <w:t>tests/algorithms/threat.test.js</w:t>
            </w:r>
          </w:p>
        </w:tc>
        <w:tc>
          <w:tcPr>
            <w:tcW w:type="dxa" w:w="4320"/>
            <w:shd w:fill="FFFFFF"/>
            <w:tcMar>
              <w:top w:w="70" w:type="dxa"/>
              <w:bottom w:w="70" w:type="dxa"/>
              <w:left w:w="120" w:type="dxa"/>
              <w:right w:w="120" w:type="dxa"/>
            </w:tcMar>
          </w:tcPr>
          <w:p>
            <w:pPr>
              <w:spacing w:before="40" w:after="40"/>
            </w:pPr>
            <w:r>
              <w:rPr>
                <w:rFonts w:ascii="Calibri" w:hAnsi="Calibri"/>
                <w:color w:val="1E293B"/>
                <w:sz w:val="18"/>
              </w:rPr>
              <w:t>Markov Chain Threat Prediction &amp; Attack Transitions</w:t>
            </w:r>
          </w:p>
        </w:tc>
        <w:tc>
          <w:tcPr>
            <w:tcW w:type="dxa" w:w="2160"/>
            <w:shd w:fill="FFFFFF"/>
            <w:tcMar>
              <w:top w:w="70" w:type="dxa"/>
              <w:bottom w:w="70" w:type="dxa"/>
              <w:left w:w="120" w:type="dxa"/>
              <w:right w:w="120" w:type="dxa"/>
            </w:tcMar>
          </w:tcPr>
          <w:p>
            <w:pPr>
              <w:spacing w:before="40" w:after="40"/>
            </w:pPr>
            <w:r>
              <w:rPr>
                <w:rFonts w:ascii="Calibri" w:hAnsi="Calibri"/>
                <w:color w:val="1E293B"/>
                <w:sz w:val="18"/>
              </w:rPr>
              <w:t>PASS (100%)</w:t>
            </w:r>
          </w:p>
        </w:tc>
      </w:tr>
      <w:tr>
        <w:tc>
          <w:tcPr>
            <w:tcW w:type="dxa" w:w="3600"/>
            <w:shd w:fill="F8FAFC"/>
            <w:tcMar>
              <w:top w:w="70" w:type="dxa"/>
              <w:bottom w:w="70" w:type="dxa"/>
              <w:left w:w="120" w:type="dxa"/>
              <w:right w:w="120" w:type="dxa"/>
            </w:tcMar>
          </w:tcPr>
          <w:p>
            <w:pPr>
              <w:spacing w:before="40" w:after="40"/>
            </w:pPr>
            <w:r>
              <w:rPr>
                <w:rFonts w:ascii="Calibri" w:hAnsi="Calibri"/>
                <w:b/>
                <w:color w:val="1E293B"/>
                <w:sz w:val="18"/>
              </w:rPr>
              <w:t>tests/algorithms/humanRisk.test.js</w:t>
            </w:r>
          </w:p>
        </w:tc>
        <w:tc>
          <w:tcPr>
            <w:tcW w:type="dxa" w:w="4320"/>
            <w:shd w:fill="F8FAFC"/>
            <w:tcMar>
              <w:top w:w="70" w:type="dxa"/>
              <w:bottom w:w="70" w:type="dxa"/>
              <w:left w:w="120" w:type="dxa"/>
              <w:right w:w="120" w:type="dxa"/>
            </w:tcMar>
          </w:tcPr>
          <w:p>
            <w:pPr>
              <w:spacing w:before="40" w:after="40"/>
            </w:pPr>
            <w:r>
              <w:rPr>
                <w:rFonts w:ascii="Calibri" w:hAnsi="Calibri"/>
                <w:color w:val="1E293B"/>
                <w:sz w:val="18"/>
              </w:rPr>
              <w:t>Decision Tree, Logistic Regression, Bayesian Risk</w:t>
            </w:r>
          </w:p>
        </w:tc>
        <w:tc>
          <w:tcPr>
            <w:tcW w:type="dxa" w:w="2160"/>
            <w:shd w:fill="F8FAFC"/>
            <w:tcMar>
              <w:top w:w="70" w:type="dxa"/>
              <w:bottom w:w="70" w:type="dxa"/>
              <w:left w:w="120" w:type="dxa"/>
              <w:right w:w="120" w:type="dxa"/>
            </w:tcMar>
          </w:tcPr>
          <w:p>
            <w:pPr>
              <w:spacing w:before="40" w:after="40"/>
            </w:pPr>
            <w:r>
              <w:rPr>
                <w:rFonts w:ascii="Calibri" w:hAnsi="Calibri"/>
                <w:color w:val="1E293B"/>
                <w:sz w:val="18"/>
              </w:rPr>
              <w:t>PASS (100%)</w:t>
            </w:r>
          </w:p>
        </w:tc>
      </w:tr>
      <w:tr>
        <w:tc>
          <w:tcPr>
            <w:tcW w:type="dxa" w:w="3600"/>
            <w:shd w:fill="FFFFFF"/>
            <w:tcMar>
              <w:top w:w="70" w:type="dxa"/>
              <w:bottom w:w="70" w:type="dxa"/>
              <w:left w:w="120" w:type="dxa"/>
              <w:right w:w="120" w:type="dxa"/>
            </w:tcMar>
          </w:tcPr>
          <w:p>
            <w:pPr>
              <w:spacing w:before="40" w:after="40"/>
            </w:pPr>
            <w:r>
              <w:rPr>
                <w:rFonts w:ascii="Calibri" w:hAnsi="Calibri"/>
                <w:b/>
                <w:color w:val="1E293B"/>
                <w:sz w:val="18"/>
              </w:rPr>
              <w:t>tests/api/api.test.js</w:t>
            </w:r>
          </w:p>
        </w:tc>
        <w:tc>
          <w:tcPr>
            <w:tcW w:type="dxa" w:w="4320"/>
            <w:shd w:fill="FFFFFF"/>
            <w:tcMar>
              <w:top w:w="70" w:type="dxa"/>
              <w:bottom w:w="70" w:type="dxa"/>
              <w:left w:w="120" w:type="dxa"/>
              <w:right w:w="120" w:type="dxa"/>
            </w:tcMar>
          </w:tcPr>
          <w:p>
            <w:pPr>
              <w:spacing w:before="40" w:after="40"/>
            </w:pPr>
            <w:r>
              <w:rPr>
                <w:rFonts w:ascii="Calibri" w:hAnsi="Calibri"/>
                <w:color w:val="1E293B"/>
                <w:sz w:val="18"/>
              </w:rPr>
              <w:t>Auth, RBAC, FIM, Telemetry DB Lock, Password Reset</w:t>
            </w:r>
          </w:p>
        </w:tc>
        <w:tc>
          <w:tcPr>
            <w:tcW w:type="dxa" w:w="2160"/>
            <w:shd w:fill="FFFFFF"/>
            <w:tcMar>
              <w:top w:w="70" w:type="dxa"/>
              <w:bottom w:w="70" w:type="dxa"/>
              <w:left w:w="120" w:type="dxa"/>
              <w:right w:w="120" w:type="dxa"/>
            </w:tcMar>
          </w:tcPr>
          <w:p>
            <w:pPr>
              <w:spacing w:before="40" w:after="40"/>
            </w:pPr>
            <w:r>
              <w:rPr>
                <w:rFonts w:ascii="Calibri" w:hAnsi="Calibri"/>
                <w:color w:val="1E293B"/>
                <w:sz w:val="18"/>
              </w:rPr>
              <w:t>PASS (100%)</w:t>
            </w:r>
          </w:p>
        </w:tc>
      </w:tr>
    </w:tbl>
    <w:tbl>
      <w:tblPr>
        <w:tblW w:type="auto" w:w="0"/>
        <w:jc w:val="center"/>
        <w:tblLook w:firstColumn="1" w:firstRow="1" w:lastColumn="0" w:lastRow="0" w:noHBand="0" w:noVBand="1" w:val="04A0"/>
      </w:tblPr>
      <w:tblGrid>
        <w:gridCol w:w="10080"/>
      </w:tblGrid>
      <w:tr>
        <w:tc>
          <w:tcPr>
            <w:tcW w:type="dxa" w:w="10080"/>
            <w:shd w:fill="F0FDF4"/>
            <w:tcMar>
              <w:top w:w="120" w:type="dxa"/>
              <w:bottom w:w="120" w:type="dxa"/>
              <w:left w:w="160" w:type="dxa"/>
              <w:right w:w="160" w:type="dxa"/>
            </w:tcMar>
            <w:tcBorders>
              <w:top w:val="none"/>
              <w:left w:val="single" w:sz="24" w:space="0" w:color="16A34A"/>
              <w:bottom w:val="none"/>
              <w:right w:val="none"/>
            </w:tcBorders>
          </w:tcPr>
          <w:p>
            <w:pPr>
              <w:spacing w:before="60" w:after="60"/>
            </w:pPr>
            <w:r>
              <w:rPr>
                <w:rFonts w:ascii="Calibri" w:hAnsi="Calibri"/>
                <w:b/>
                <w:color w:val="0F172A"/>
                <w:sz w:val="20"/>
              </w:rPr>
              <w:t>[PRODUCTION DEPLOYMENT VERIFICATION]</w:t>
              <w:br/>
            </w:r>
            <w:r>
              <w:rPr>
                <w:rFonts w:ascii="Calibri" w:hAnsi="Calibri"/>
                <w:color w:val="334155"/>
                <w:sz w:val="19"/>
              </w:rPr>
              <w:t>The standalone Windows production executable installer is compiled and verified at 'dist/NeuroShield Setup 1.0.0.exe' (84.66 MB). It bundles all native modules, Electron runtime, and embedded services for single-click installation on Windows 10/11 x64 systems.</w:t>
            </w:r>
          </w:p>
        </w:tc>
      </w:tr>
    </w:tbl>
    <w:p>
      <w:pPr>
        <w:spacing w:after="8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