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pPr>
      <w:r>
        <w:rPr>
          <w:b/>
          <w:color w:val="0284C7"/>
          <w:sz w:val="20"/>
        </w:rPr>
        <w:t>ENTERPRISE DEFENSIVE CYBERSECURITY ARCHITECTURE &amp; SYSTEM SPECIFICATION</w:t>
      </w:r>
    </w:p>
    <w:p>
      <w:pPr>
        <w:spacing w:after="160"/>
      </w:pPr>
      <w:r>
        <w:rPr>
          <w:b/>
          <w:color w:val="0A2540"/>
          <w:sz w:val="56"/>
        </w:rPr>
        <w:t>NeuroShield Desktop Security System</w:t>
      </w:r>
    </w:p>
    <w:p>
      <w:pPr>
        <w:spacing w:after="400"/>
      </w:pPr>
      <w:r>
        <w:rPr>
          <w:color w:val="475569"/>
          <w:sz w:val="26"/>
        </w:rPr>
        <w:t>Continuous Adaptive Zero-Trust Defense Terminal: Comprehensive Operational Working, Mathematical Formulations, Multi-Model Behavioral Biometrics, and Seeded Evaluation Dossier</w:t>
      </w:r>
    </w:p>
    <w:tbl>
      <w:tblPr>
        <w:tblW w:type="auto" w:w="0"/>
        <w:jc w:val="center"/>
        <w:tblLook w:firstColumn="1" w:firstRow="1" w:lastColumn="0" w:lastRow="0" w:noHBand="0" w:noVBand="1" w:val="04A0"/>
      </w:tblPr>
      <w:tblGrid>
        <w:gridCol w:w="9792"/>
      </w:tblGrid>
      <w:tr>
        <w:tc>
          <w:tcPr>
            <w:tcW w:type="dxa" w:w="9792"/>
            <w:shd w:fill="F8FAFC"/>
            <w:tcMar>
              <w:top w:w="130" w:type="dxa"/>
              <w:bottom w:w="130" w:type="dxa"/>
              <w:left w:w="180" w:type="dxa"/>
              <w:right w:w="180" w:type="dxa"/>
            </w:tcMar>
            <w:tcBorders>
              <w:top w:val="none"/>
              <w:left w:val="single" w:sz="24" w:space="0" w:color="0F172A"/>
              <w:bottom w:val="none"/>
              <w:right w:val="none"/>
            </w:tcBorders>
          </w:tcPr>
          <w:p>
            <w:pPr>
              <w:spacing w:before="60" w:after="60"/>
            </w:pPr>
            <w:r>
              <w:rPr>
                <w:rFonts w:ascii="Calibri" w:hAnsi="Calibri"/>
                <w:b/>
                <w:color w:val="0F172A"/>
                <w:sz w:val="21"/>
              </w:rPr>
              <w:t>[DOCUMENT CLASSIFICATION &amp; PURPOSE]</w:t>
              <w:br/>
            </w:r>
            <w:r>
              <w:rPr>
                <w:rFonts w:ascii="Calibri" w:hAnsi="Calibri"/>
                <w:color w:val="334155"/>
                <w:sz w:val="19"/>
              </w:rPr>
              <w:t>This official engineering report provides an exhaustive, multi-chapter operational breakdown of the NeuroShield desktop software. It details the runtime lifecycle of the Electron client, the mathematical models powering continuous behavioral biometrics, the adaptive zero-trust state transitions, the graph-theoretic threat prediction models, the dynamic deception infrastructure, and the complete pre-seeded enterprise dataset engineered for competition judges and security auditors.</w:t>
            </w:r>
          </w:p>
        </w:tc>
      </w:tr>
    </w:tbl>
    <w:p>
      <w:pPr>
        <w:spacing w:after="80"/>
      </w:pPr>
    </w:p>
    <w:p>
      <w:pPr>
        <w:spacing w:after="600"/>
      </w:pPr>
    </w:p>
    <w:tbl>
      <w:tblPr>
        <w:tblW w:type="auto" w:w="0"/>
        <w:jc w:val="center"/>
        <w:tblLook w:firstColumn="1" w:firstRow="1" w:lastColumn="0" w:lastRow="0" w:noHBand="0" w:noVBand="1" w:val="04A0"/>
      </w:tblPr>
      <w:tblGrid>
        <w:gridCol w:w="4896"/>
        <w:gridCol w:w="4896"/>
      </w:tblGrid>
      <w:tr>
        <w:tc>
          <w:tcPr>
            <w:tcW w:type="dxa" w:w="3456"/>
            <w:shd w:fill="FFFFFF"/>
            <w:tcMar>
              <w:top w:w="80" w:type="dxa"/>
              <w:bottom w:w="80" w:type="dxa"/>
              <w:left w:w="130" w:type="dxa"/>
              <w:right w:w="130" w:type="dxa"/>
            </w:tcMar>
          </w:tcPr>
          <w:p>
            <w:pPr>
              <w:spacing w:before="40" w:after="40"/>
            </w:pPr>
            <w:r>
              <w:rPr>
                <w:rFonts w:ascii="Calibri" w:hAnsi="Calibri"/>
                <w:b/>
                <w:color w:val="1E293B"/>
                <w:sz w:val="18"/>
              </w:rPr>
              <w:t>Application Name &amp; Version:</w:t>
            </w:r>
          </w:p>
        </w:tc>
        <w:tc>
          <w:tcPr>
            <w:tcW w:type="dxa" w:w="6480"/>
            <w:shd w:fill="FFFFFF"/>
            <w:tcMar>
              <w:top w:w="80" w:type="dxa"/>
              <w:bottom w:w="80" w:type="dxa"/>
              <w:left w:w="130" w:type="dxa"/>
              <w:right w:w="130" w:type="dxa"/>
            </w:tcMar>
          </w:tcPr>
          <w:p>
            <w:pPr>
              <w:spacing w:before="40" w:after="40"/>
            </w:pPr>
            <w:r>
              <w:rPr>
                <w:rFonts w:ascii="Calibri" w:hAnsi="Calibri"/>
                <w:color w:val="1E293B"/>
                <w:sz w:val="18"/>
              </w:rPr>
              <w:t>NeuroShield Desktop Security Terminal v1.0.0 (Production Release)</w:t>
            </w:r>
          </w:p>
        </w:tc>
      </w:tr>
      <w:tr>
        <w:tc>
          <w:tcPr>
            <w:tcW w:type="dxa" w:w="3456"/>
            <w:shd w:fill="F1F5F9"/>
            <w:tcMar>
              <w:top w:w="80" w:type="dxa"/>
              <w:bottom w:w="80" w:type="dxa"/>
              <w:left w:w="130" w:type="dxa"/>
              <w:right w:w="130" w:type="dxa"/>
            </w:tcMar>
          </w:tcPr>
          <w:p>
            <w:pPr>
              <w:spacing w:before="40" w:after="40"/>
            </w:pPr>
            <w:r>
              <w:rPr>
                <w:rFonts w:ascii="Calibri" w:hAnsi="Calibri"/>
                <w:b/>
                <w:color w:val="1E293B"/>
                <w:sz w:val="18"/>
              </w:rPr>
              <w:t>Core Execution Runtimes:</w:t>
            </w:r>
          </w:p>
        </w:tc>
        <w:tc>
          <w:tcPr>
            <w:tcW w:type="dxa" w:w="6480"/>
            <w:shd w:fill="F1F5F9"/>
            <w:tcMar>
              <w:top w:w="80" w:type="dxa"/>
              <w:bottom w:w="80" w:type="dxa"/>
              <w:left w:w="130" w:type="dxa"/>
              <w:right w:w="130" w:type="dxa"/>
            </w:tcMar>
          </w:tcPr>
          <w:p>
            <w:pPr>
              <w:spacing w:before="40" w:after="40"/>
            </w:pPr>
            <w:r>
              <w:rPr>
                <w:rFonts w:ascii="Calibri" w:hAnsi="Calibri"/>
                <w:color w:val="1E293B"/>
                <w:sz w:val="18"/>
              </w:rPr>
              <w:t>Electron 34 Core, Express 4 Micro-Engine, Socket.IO Real-Time Mesh</w:t>
            </w:r>
          </w:p>
        </w:tc>
      </w:tr>
      <w:tr>
        <w:tc>
          <w:tcPr>
            <w:tcW w:type="dxa" w:w="3456"/>
            <w:shd w:fill="FFFFFF"/>
            <w:tcMar>
              <w:top w:w="80" w:type="dxa"/>
              <w:bottom w:w="80" w:type="dxa"/>
              <w:left w:w="130" w:type="dxa"/>
              <w:right w:w="130" w:type="dxa"/>
            </w:tcMar>
          </w:tcPr>
          <w:p>
            <w:pPr>
              <w:spacing w:before="40" w:after="40"/>
            </w:pPr>
            <w:r>
              <w:rPr>
                <w:rFonts w:ascii="Calibri" w:hAnsi="Calibri"/>
                <w:b/>
                <w:color w:val="1E293B"/>
                <w:sz w:val="18"/>
              </w:rPr>
              <w:t>Compliance &amp; Architectural Frameworks:</w:t>
            </w:r>
          </w:p>
        </w:tc>
        <w:tc>
          <w:tcPr>
            <w:tcW w:type="dxa" w:w="6480"/>
            <w:shd w:fill="FFFFFF"/>
            <w:tcMar>
              <w:top w:w="80" w:type="dxa"/>
              <w:bottom w:w="80" w:type="dxa"/>
              <w:left w:w="130" w:type="dxa"/>
              <w:right w:w="130" w:type="dxa"/>
            </w:tcMar>
          </w:tcPr>
          <w:p>
            <w:pPr>
              <w:spacing w:before="40" w:after="40"/>
            </w:pPr>
            <w:r>
              <w:rPr>
                <w:rFonts w:ascii="Calibri" w:hAnsi="Calibri"/>
                <w:color w:val="1E293B"/>
                <w:sz w:val="18"/>
              </w:rPr>
              <w:t>NIST SP 800-207 (Zero Trust), NIST SP 800-128 (FIM), CIS Controls v8</w:t>
            </w:r>
          </w:p>
        </w:tc>
      </w:tr>
      <w:tr>
        <w:tc>
          <w:tcPr>
            <w:tcW w:type="dxa" w:w="3456"/>
            <w:shd w:fill="F1F5F9"/>
            <w:tcMar>
              <w:top w:w="80" w:type="dxa"/>
              <w:bottom w:w="80" w:type="dxa"/>
              <w:left w:w="130" w:type="dxa"/>
              <w:right w:w="130" w:type="dxa"/>
            </w:tcMar>
          </w:tcPr>
          <w:p>
            <w:pPr>
              <w:spacing w:before="40" w:after="40"/>
            </w:pPr>
            <w:r>
              <w:rPr>
                <w:rFonts w:ascii="Calibri" w:hAnsi="Calibri"/>
                <w:b/>
                <w:color w:val="1E293B"/>
                <w:sz w:val="18"/>
              </w:rPr>
              <w:t>Dual Datastore Operating Modes:</w:t>
            </w:r>
          </w:p>
        </w:tc>
        <w:tc>
          <w:tcPr>
            <w:tcW w:type="dxa" w:w="6480"/>
            <w:shd w:fill="F1F5F9"/>
            <w:tcMar>
              <w:top w:w="80" w:type="dxa"/>
              <w:bottom w:w="80" w:type="dxa"/>
              <w:left w:w="130" w:type="dxa"/>
              <w:right w:w="130" w:type="dxa"/>
            </w:tcMar>
          </w:tcPr>
          <w:p>
            <w:pPr>
              <w:spacing w:before="40" w:after="40"/>
            </w:pPr>
            <w:r>
              <w:rPr>
                <w:rFonts w:ascii="Calibri" w:hAnsi="Calibri"/>
                <w:color w:val="1E293B"/>
                <w:sz w:val="18"/>
              </w:rPr>
              <w:t>Autonomous MongoDB Atlas / Embedded In-Memory MemoryStore Fallback</w:t>
            </w:r>
          </w:p>
        </w:tc>
      </w:tr>
      <w:tr>
        <w:tc>
          <w:tcPr>
            <w:tcW w:type="dxa" w:w="3456"/>
            <w:shd w:fill="FFFFFF"/>
            <w:tcMar>
              <w:top w:w="80" w:type="dxa"/>
              <w:bottom w:w="80" w:type="dxa"/>
              <w:left w:w="130" w:type="dxa"/>
              <w:right w:w="130" w:type="dxa"/>
            </w:tcMar>
          </w:tcPr>
          <w:p>
            <w:pPr>
              <w:spacing w:before="40" w:after="40"/>
            </w:pPr>
            <w:r>
              <w:rPr>
                <w:rFonts w:ascii="Calibri" w:hAnsi="Calibri"/>
                <w:b/>
                <w:color w:val="1E293B"/>
                <w:sz w:val="18"/>
              </w:rPr>
              <w:t>Hardware &amp; Host Environment:</w:t>
            </w:r>
          </w:p>
        </w:tc>
        <w:tc>
          <w:tcPr>
            <w:tcW w:type="dxa" w:w="6480"/>
            <w:shd w:fill="FFFFFF"/>
            <w:tcMar>
              <w:top w:w="80" w:type="dxa"/>
              <w:bottom w:w="80" w:type="dxa"/>
              <w:left w:w="130" w:type="dxa"/>
              <w:right w:w="130" w:type="dxa"/>
            </w:tcMar>
          </w:tcPr>
          <w:p>
            <w:pPr>
              <w:spacing w:before="40" w:after="40"/>
            </w:pPr>
            <w:r>
              <w:rPr>
                <w:rFonts w:ascii="Calibri" w:hAnsi="Calibri"/>
                <w:color w:val="1E293B"/>
                <w:sz w:val="18"/>
              </w:rPr>
              <w:t>Windows 10 / 11 Desktop (x64 Architecture)</w:t>
            </w:r>
          </w:p>
        </w:tc>
      </w:tr>
      <w:tr>
        <w:tc>
          <w:tcPr>
            <w:tcW w:type="dxa" w:w="3456"/>
            <w:shd w:fill="F1F5F9"/>
            <w:tcMar>
              <w:top w:w="80" w:type="dxa"/>
              <w:bottom w:w="80" w:type="dxa"/>
              <w:left w:w="130" w:type="dxa"/>
              <w:right w:w="130" w:type="dxa"/>
            </w:tcMar>
          </w:tcPr>
          <w:p>
            <w:pPr>
              <w:spacing w:before="40" w:after="40"/>
            </w:pPr>
            <w:r>
              <w:rPr>
                <w:rFonts w:ascii="Calibri" w:hAnsi="Calibri"/>
                <w:b/>
                <w:color w:val="1E293B"/>
                <w:sz w:val="18"/>
              </w:rPr>
              <w:t>Distribution Packaging Target:</w:t>
            </w:r>
          </w:p>
        </w:tc>
        <w:tc>
          <w:tcPr>
            <w:tcW w:type="dxa" w:w="6480"/>
            <w:shd w:fill="F1F5F9"/>
            <w:tcMar>
              <w:top w:w="80" w:type="dxa"/>
              <w:bottom w:w="80" w:type="dxa"/>
              <w:left w:w="130" w:type="dxa"/>
              <w:right w:w="130" w:type="dxa"/>
            </w:tcMar>
          </w:tcPr>
          <w:p>
            <w:pPr>
              <w:spacing w:before="40" w:after="40"/>
            </w:pPr>
            <w:r>
              <w:rPr>
                <w:rFonts w:ascii="Calibri" w:hAnsi="Calibri"/>
                <w:color w:val="1E293B"/>
                <w:sz w:val="18"/>
              </w:rPr>
              <w:t>Standalone Windows NSIS Executable (NeuroShield Setup 1.0.0.exe - 84.66 MB)</w:t>
            </w:r>
          </w:p>
        </w:tc>
      </w:tr>
      <w:tr>
        <w:tc>
          <w:tcPr>
            <w:tcW w:type="dxa" w:w="3456"/>
            <w:shd w:fill="FFFFFF"/>
            <w:tcMar>
              <w:top w:w="80" w:type="dxa"/>
              <w:bottom w:w="80" w:type="dxa"/>
              <w:left w:w="130" w:type="dxa"/>
              <w:right w:w="130" w:type="dxa"/>
            </w:tcMar>
          </w:tcPr>
          <w:p>
            <w:pPr>
              <w:spacing w:before="40" w:after="40"/>
            </w:pPr>
            <w:r>
              <w:rPr>
                <w:rFonts w:ascii="Calibri" w:hAnsi="Calibri"/>
                <w:b/>
                <w:color w:val="1E293B"/>
                <w:sz w:val="18"/>
              </w:rPr>
              <w:t>Evaluation Dataset Configuration:</w:t>
            </w:r>
          </w:p>
        </w:tc>
        <w:tc>
          <w:tcPr>
            <w:tcW w:type="dxa" w:w="6480"/>
            <w:shd w:fill="FFFFFF"/>
            <w:tcMar>
              <w:top w:w="80" w:type="dxa"/>
              <w:bottom w:w="80" w:type="dxa"/>
              <w:left w:w="130" w:type="dxa"/>
              <w:right w:w="130" w:type="dxa"/>
            </w:tcMar>
          </w:tcPr>
          <w:p>
            <w:pPr>
              <w:spacing w:before="40" w:after="40"/>
            </w:pPr>
            <w:r>
              <w:rPr>
                <w:rFonts w:ascii="Calibri" w:hAnsi="Calibri"/>
                <w:color w:val="1E293B"/>
                <w:sz w:val="18"/>
              </w:rPr>
              <w:t>8 Pre-Seeded Enterprise Personas, 7 MITRE Nodes, 3 Armed Decoys</w:t>
            </w:r>
          </w:p>
        </w:tc>
      </w:tr>
    </w:tbl>
    <w:p>
      <w:r>
        <w:br w:type="page"/>
      </w:r>
    </w:p>
    <w:p>
      <w:pPr>
        <w:pStyle w:val="Heading1"/>
        <w:keepNext/>
        <w:spacing w:before="400" w:after="160"/>
      </w:pPr>
      <w:r>
        <w:rPr>
          <w:b/>
          <w:color w:val="0A2540"/>
          <w:sz w:val="32"/>
        </w:rPr>
        <w:t>Document Table of Contents</w:t>
      </w:r>
    </w:p>
    <w:tbl>
      <w:tblPr>
        <w:tblW w:type="auto" w:w="0"/>
        <w:jc w:val="center"/>
        <w:tblLook w:firstColumn="1" w:firstRow="1" w:lastColumn="0" w:lastRow="0" w:noHBand="0" w:noVBand="1" w:val="04A0"/>
      </w:tblPr>
      <w:tblGrid>
        <w:gridCol w:w="4896"/>
        <w:gridCol w:w="4896"/>
      </w:tblGrid>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1: Executive Overview &amp; Operational Zero-Trust Philosophy</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3</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2: Autonomous Desktop Bootstrapping &amp; Hybrid Storage Lifecycle</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4</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3: Enterprise Identity Roster &amp; Detailed Seeded Persona Dossier</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6</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4: Layer 1 - Behavioral Identity Engine &amp; Mathematical Formulations</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8</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5: Continuous Kinematic Telemetry, Sliding-Window WPM &amp; OS Mouse Speed</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10</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6: Layer 2 - Continuous Adaptive Zero-Trust Access Controller</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12</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7: Layer 3 - Predictive Human Risk Engine &amp; Statistical Tri-Model</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14</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8: Layer 4 - Predictive Threat Modeling, Markov Chains &amp; Attack Graph</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15</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9: Layer 5 - Dynamic Deception Technology &amp; Deterministic Honeypots</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17</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10: Defensive Endpoint Auditing, File Integrity Monitoring (FIM) &amp; Networks</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18</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11: Real-Time Event Mesh, Socket.IO WebSockets &amp; Native Notifications</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20</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12: Step-by-Step Live Demonstration Playbook</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21</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13: Algorithmic Verification Test Metrics &amp; Production Build Engineering</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23</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14: Enterprise Regulatory Standards Compliance Mapping Matrix</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24</w:t>
            </w:r>
          </w:p>
        </w:tc>
      </w:tr>
    </w:tbl>
    <w:p>
      <w:r>
        <w:br w:type="page"/>
      </w:r>
    </w:p>
    <w:p>
      <w:pPr>
        <w:pStyle w:val="Heading1"/>
        <w:keepNext/>
        <w:spacing w:before="400" w:after="160"/>
      </w:pPr>
      <w:r>
        <w:rPr>
          <w:b/>
          <w:color w:val="0A2540"/>
          <w:sz w:val="32"/>
        </w:rPr>
        <w:t>Chapter 1: Executive Overview &amp; Operational Zero-Trust Philosophy</w:t>
      </w:r>
    </w:p>
    <w:p>
      <w:pPr>
        <w:spacing w:after="120" w:line="276" w:lineRule="auto"/>
      </w:pPr>
      <w:r>
        <w:rPr>
          <w:color w:val="1E293B"/>
        </w:rPr>
        <w:t>Enterprise cybersecurity has historically relied on the perimeter-security doctrine. Under this legacy model, firewalls and VPNs authenticate a user at the network boundary. Once access is approved, the system treats the connection as inherently trusted until manual logout. This paradigm fails catastrophically in modern hybrid enterprise landscapes characterized by sophisticated credential phishing, session hijacking, pass-the-hash attacks, and malicious insider sabotage. A malicious actor possessing legitimate credentials bypasses perimeter defenses completely.</w:t>
      </w:r>
    </w:p>
    <w:p>
      <w:pPr>
        <w:spacing w:after="120" w:line="276" w:lineRule="auto"/>
      </w:pPr>
      <w:r>
        <w:rPr>
          <w:color w:val="1E293B"/>
        </w:rPr>
        <w:t>NeuroShield eliminates the static perimeter by implementing the tenets of Continuous Adaptive Zero Trust (NIST SP 800-207). Under NeuroShield's operational model, trust is never granted implicitly, never permanently established, and continually reassessed across every microsecond of system interaction. The software functions not as a passive monitoring dashboard, but as an active, autonomous host defense terminal that unifies identity verification, kinematic behavior analysis, predictive risk modeling, graph-theoretic lateral movement simulation, and dynamic honeypot deception.</w:t>
      </w:r>
    </w:p>
    <w:p>
      <w:pPr>
        <w:pStyle w:val="Heading2"/>
        <w:keepNext/>
        <w:spacing w:before="280" w:after="120"/>
      </w:pPr>
      <w:r>
        <w:rPr>
          <w:b/>
          <w:color w:val="0284C7"/>
          <w:sz w:val="25"/>
        </w:rPr>
        <w:t>1.1 The Five Concentric Defense Rings</w:t>
      </w:r>
    </w:p>
    <w:p>
      <w:pPr>
        <w:spacing w:after="120" w:line="276" w:lineRule="auto"/>
      </w:pPr>
      <w:r>
        <w:rPr>
          <w:color w:val="1E293B"/>
        </w:rPr>
        <w:t>NeuroShield constructs five continuous, interlinked rings of defensive protection that execute simultaneously on the host workstation:</w:t>
      </w:r>
    </w:p>
    <w:p>
      <w:pPr>
        <w:pStyle w:val="ListBullet"/>
        <w:spacing w:after="80" w:line="276" w:lineRule="auto"/>
      </w:pPr>
      <w:r>
        <w:rPr>
          <w:b/>
          <w:color w:val="0F172A"/>
        </w:rPr>
        <w:t xml:space="preserve">Ring 1 - Subconscious Behavioral Identity (Continuous Biometrics): </w:t>
      </w:r>
      <w:r>
        <w:rPr>
          <w:color w:val="334155"/>
        </w:rPr>
        <w:t>Validates that the authentic human is seated at the workstation by measuring involuntary physical dynamics: inter-keystroke intervals (IKI), key hold times, sliding-window typing cadence (WPM), cursor acceleration curves, and OS-wide pointer velocity.</w:t>
      </w:r>
    </w:p>
    <w:p>
      <w:pPr>
        <w:pStyle w:val="ListBullet"/>
        <w:spacing w:after="80" w:line="276" w:lineRule="auto"/>
      </w:pPr>
      <w:r>
        <w:rPr>
          <w:b/>
          <w:color w:val="0F172A"/>
        </w:rPr>
        <w:t xml:space="preserve">Ring 2 - Dynamic Trust State Machine (Adaptive Access Control): </w:t>
      </w:r>
      <w:r>
        <w:rPr>
          <w:color w:val="334155"/>
        </w:rPr>
        <w:t>Computes a real-time Trust Score (0 - 100) that continuously decays over time and dynamically scales down upon behavioral anomalies or host incidents. Automatically enforces stepped-up authentication or triggers instantaneous workstation lockdown.</w:t>
      </w:r>
    </w:p>
    <w:p>
      <w:pPr>
        <w:pStyle w:val="ListBullet"/>
        <w:spacing w:after="80" w:line="276" w:lineRule="auto"/>
      </w:pPr>
      <w:r>
        <w:rPr>
          <w:b/>
          <w:color w:val="0F172A"/>
        </w:rPr>
        <w:t xml:space="preserve">Ring 3 - Predictive Human Risk Engine (Tri-Model Statistical Forecasting): </w:t>
      </w:r>
      <w:r>
        <w:rPr>
          <w:color w:val="334155"/>
        </w:rPr>
        <w:t>Analyzes behavioral variance vectors and policy violations through Decision Trees, Logistic Regression log-odds, and Bayesian posterior probability updates to forecast likelihood of insider compromise.</w:t>
      </w:r>
    </w:p>
    <w:p>
      <w:pPr>
        <w:pStyle w:val="ListBullet"/>
        <w:spacing w:after="80" w:line="276" w:lineRule="auto"/>
      </w:pPr>
      <w:r>
        <w:rPr>
          <w:b/>
          <w:color w:val="0F172A"/>
        </w:rPr>
        <w:t xml:space="preserve">Ring 4 - Threat Path Modeling &amp; Interactive Attack Graph: </w:t>
      </w:r>
      <w:r>
        <w:rPr>
          <w:color w:val="334155"/>
        </w:rPr>
        <w:t>Maintains an active network topology model mapped against MITRE ATT&amp;CK killchain tactics. Computes Markov Chain state transitions to forecast the adversary's next lateral exploit hop and visualize multi-step attack waves.</w:t>
      </w:r>
    </w:p>
    <w:p>
      <w:pPr>
        <w:pStyle w:val="ListBullet"/>
        <w:spacing w:after="80" w:line="276" w:lineRule="auto"/>
      </w:pPr>
      <w:r>
        <w:rPr>
          <w:b/>
          <w:color w:val="0F172A"/>
        </w:rPr>
        <w:t xml:space="preserve">Ring 5 - Dynamic Deception &amp; File Integrity Monitoring (FIM): </w:t>
      </w:r>
      <w:r>
        <w:rPr>
          <w:color w:val="334155"/>
        </w:rPr>
        <w:t>Scatters high-fidelity honeytokens (SSH private keys, decoy SQL ports, canary cloud API credentials) and monitors an encrypted Canary Vault (%APPDATA%\NeuroShield\CanaryVault) with SHA-256 baselining. Produces deterministic, zero-false-positive alerts upon the earliest stages of unauthorized reconnaissance or ransomware tampering.</w:t>
      </w:r>
    </w:p>
    <w:p>
      <w:r>
        <w:br w:type="page"/>
      </w:r>
    </w:p>
    <w:p>
      <w:pPr>
        <w:pStyle w:val="Heading1"/>
        <w:keepNext/>
        <w:spacing w:before="400" w:after="160"/>
      </w:pPr>
      <w:r>
        <w:rPr>
          <w:b/>
          <w:color w:val="0A2540"/>
          <w:sz w:val="32"/>
        </w:rPr>
        <w:t>Chapter 2: Autonomous Desktop Bootstrapping &amp; Hybrid Storage Lifecycle</w:t>
      </w:r>
    </w:p>
    <w:p>
      <w:pPr>
        <w:spacing w:after="120" w:line="276" w:lineRule="auto"/>
      </w:pPr>
      <w:r>
        <w:rPr>
          <w:color w:val="1E293B"/>
        </w:rPr>
        <w:t>A critical engineering requirement for high-assurance security software is autonomous operability under adversarial conditions. During live incidents, network segmentation, or offline air-gapped forensic investigations, the terminal must remain fully functional even if external internet uplinks or cloud databases are completely severed. NeuroShield implements a self-healing, zero-configuration bootstrapping engine.</w:t>
      </w:r>
    </w:p>
    <w:p>
      <w:pPr>
        <w:pStyle w:val="Heading2"/>
        <w:keepNext/>
        <w:spacing w:before="280" w:after="120"/>
      </w:pPr>
      <w:r>
        <w:rPr>
          <w:b/>
          <w:color w:val="0284C7"/>
          <w:sz w:val="25"/>
        </w:rPr>
        <w:t>2.1 The Multi-Phase Electron Startup State Machine</w:t>
      </w:r>
    </w:p>
    <w:p>
      <w:pPr>
        <w:spacing w:after="120" w:line="276" w:lineRule="auto"/>
      </w:pPr>
      <w:r>
        <w:rPr>
          <w:color w:val="1E293B"/>
        </w:rPr>
        <w:t>When the user launches 'NeuroShield.exe' or runs 'npm run electron', the application executes through a multi-stage startup lifecycle:</w:t>
      </w:r>
    </w:p>
    <w:p>
      <w:pPr>
        <w:pStyle w:val="ListBullet"/>
        <w:spacing w:after="80" w:line="276" w:lineRule="auto"/>
      </w:pPr>
      <w:r>
        <w:rPr>
          <w:b/>
          <w:color w:val="0F172A"/>
        </w:rPr>
        <w:t xml:space="preserve">Stage 1 - Main Process Security Hardening: </w:t>
      </w:r>
      <w:r>
        <w:rPr>
          <w:color w:val="334155"/>
        </w:rPr>
        <w:t>The Electron main process ('electron/main.js') initializes Chromium window parameters. It enforces strict security boundaries: contextIsolation is set to true, nodeIntegration is set to false in the renderer context, and sandbox: true is active. This ensures renderer web pages cannot directly execute arbitrary Node.js shell commands or access low-level operating system APIs.</w:t>
      </w:r>
    </w:p>
    <w:p>
      <w:pPr>
        <w:pStyle w:val="ListBullet"/>
        <w:spacing w:after="80" w:line="276" w:lineRule="auto"/>
      </w:pPr>
      <w:r>
        <w:rPr>
          <w:b/>
          <w:color w:val="0F172A"/>
        </w:rPr>
        <w:t xml:space="preserve">Stage 2 - Local Express Micro-Engine Initialization: </w:t>
      </w:r>
      <w:r>
        <w:rPr>
          <w:color w:val="334155"/>
        </w:rPr>
        <w:t>The main process programmatically spawns an internal Express HTTP micro-engine ('server/server.js') bound strictly to loopback (127.0.0.1:5000). The server initializes middleware: Helmet HTTP header protection, Cross-Origin Resource Sharing (CORS) restricted to local origins, cookie parsers, JSON body parsing, and WebSocket attachment.</w:t>
      </w:r>
    </w:p>
    <w:p>
      <w:pPr>
        <w:pStyle w:val="ListBullet"/>
        <w:spacing w:after="80" w:line="276" w:lineRule="auto"/>
      </w:pPr>
      <w:r>
        <w:rPr>
          <w:b/>
          <w:color w:val="0F172A"/>
        </w:rPr>
        <w:t xml:space="preserve">Stage 3 - Intelligent Hybrid Storage Auto-Negotiation: </w:t>
      </w:r>
      <w:r>
        <w:rPr>
          <w:color w:val="334155"/>
        </w:rPr>
        <w:t>The database abstraction layer ('server/config/database.js') inspects the environment. It initially attempts to establish a secure TLS-encrypted Mongoose connection to MongoDB Atlas using the configured connection string. If connection fails—such as during offline demonstrations, DNS resolution failure (querySrv ENOTFOUND), or network timeouts—the connector triggers an automatic fallback. Within 1.5 seconds, it initializes an embedded in-memory datastore with identical Mongoose schema bindings. The UI and API transition seamlessly with zero downtime, displaying 'Database: Ready (Local)' on the status badge.</w:t>
      </w:r>
    </w:p>
    <w:p>
      <w:pPr>
        <w:pStyle w:val="ListBullet"/>
        <w:spacing w:after="80" w:line="276" w:lineRule="auto"/>
      </w:pPr>
      <w:r>
        <w:rPr>
          <w:b/>
          <w:color w:val="0F172A"/>
        </w:rPr>
        <w:t xml:space="preserve">Stage 4 - Automated Database Seeding Engine: </w:t>
      </w:r>
      <w:r>
        <w:rPr>
          <w:color w:val="334155"/>
        </w:rPr>
        <w:t>Immediately following datastore readiness, the auto-seed utility ('server/utils/autoSeed.js') verifies data integrity. If the enterprise identity roster is uninitialized, the engine populates 8 complete role-based personas, password hashes, behavioral baseline profiles, MITRE attack graph nodes, honeypots, and baseline security audit events.</w:t>
      </w:r>
    </w:p>
    <w:p>
      <w:pPr>
        <w:pStyle w:val="ListBullet"/>
        <w:spacing w:after="80" w:line="276" w:lineRule="auto"/>
      </w:pPr>
      <w:r>
        <w:rPr>
          <w:b/>
          <w:color w:val="0F172A"/>
        </w:rPr>
        <w:t xml:space="preserve">Stage 5 - Health Verification &amp; BrowserWindow Presentation: </w:t>
      </w:r>
      <w:r>
        <w:rPr>
          <w:color w:val="334155"/>
        </w:rPr>
        <w:t>The main process polls the internal health endpoint (/api/health) to confirm service readiness. Once verified, it creates the primary BrowserWindow (1440x900 resolution, dark theme background #0a0d14) and loads 'client/index.html'. Simultaneously, it starts background OS mouse pointer tracking and registers global emergency shortcuts (Ctrl+Shift+L).</w:t>
      </w:r>
    </w:p>
    <w:p>
      <w:pPr>
        <w:pStyle w:val="Heading2"/>
        <w:keepNext/>
        <w:spacing w:before="280" w:after="120"/>
      </w:pPr>
      <w:r>
        <w:rPr>
          <w:b/>
          <w:color w:val="0284C7"/>
          <w:sz w:val="25"/>
        </w:rPr>
        <w:t>2.2 Dual-Channel Bearer Token Authentication Protocol</w:t>
      </w:r>
    </w:p>
    <w:p>
      <w:pPr>
        <w:spacing w:after="120" w:line="276" w:lineRule="auto"/>
      </w:pPr>
      <w:r>
        <w:rPr>
          <w:color w:val="1E293B"/>
        </w:rPr>
        <w:t>Standard web applications rely on HTTP-only session cookies. However, inside Electron desktop applications, renderer pages are loaded via the local file:/// protocol. Under Chromium's modern security sandbox, cross-origin requests from file:/// to http://127.0.0.1:5000 strictly partition and block cookie persistence. In naive implementations, this causes silent redirect loops where the user logs in successfully, but subsequent page navigations treat the user as unauthenticated.</w:t>
      </w:r>
    </w:p>
    <w:p>
      <w:pPr>
        <w:spacing w:after="120" w:line="276" w:lineRule="auto"/>
      </w:pPr>
      <w:r>
        <w:rPr>
          <w:color w:val="1E293B"/>
        </w:rPr>
        <w:t>NeuroShield resolves this through an enterprise Dual-Channel Authentication Protocol ('server/routes/auth.js' &amp; 'client/js/api.js'):</w:t>
      </w:r>
    </w:p>
    <w:tbl>
      <w:tblPr>
        <w:tblW w:type="auto" w:w="0"/>
        <w:jc w:val="center"/>
        <w:tblLook w:firstColumn="1" w:firstRow="1" w:lastColumn="0" w:lastRow="0" w:noHBand="0" w:noVBand="1" w:val="04A0"/>
      </w:tblPr>
      <w:tblGrid>
        <w:gridCol w:w="9792"/>
      </w:tblGrid>
      <w:tr>
        <w:tc>
          <w:tcPr>
            <w:tcW w:type="dxa" w:w="9792"/>
            <w:shd w:fill="F0FDF4"/>
            <w:tcMar>
              <w:top w:w="130" w:type="dxa"/>
              <w:bottom w:w="130" w:type="dxa"/>
              <w:left w:w="180" w:type="dxa"/>
              <w:right w:w="180" w:type="dxa"/>
            </w:tcMar>
            <w:tcBorders>
              <w:top w:val="none"/>
              <w:left w:val="single" w:sz="24" w:space="0" w:color="16A34A"/>
              <w:bottom w:val="none"/>
              <w:right w:val="none"/>
            </w:tcBorders>
          </w:tcPr>
          <w:p>
            <w:pPr>
              <w:spacing w:before="60" w:after="60"/>
            </w:pPr>
            <w:r>
              <w:rPr>
                <w:rFonts w:ascii="Calibri" w:hAnsi="Calibri"/>
                <w:b/>
                <w:color w:val="0F172A"/>
                <w:sz w:val="21"/>
              </w:rPr>
              <w:t>[DUAL-CHANNEL TOKEN FLOW]</w:t>
              <w:br/>
            </w:r>
            <w:r>
              <w:rPr>
                <w:rFonts w:ascii="Calibri" w:hAnsi="Calibri"/>
                <w:color w:val="334155"/>
                <w:sz w:val="19"/>
              </w:rPr>
              <w:t>1. Upon authentication (/api/auth/login), the server issues an HTTP-only cookie and embeds an explicit 'desktopToken' in the JSON response body.</w:t>
              <w:br/>
              <w:t>2. The client authentication manager ('client/js/auth.js') caches this token securely in localStorage under 'neuroshield_desktop_token'.</w:t>
              <w:br/>
              <w:t>3. The centralized API client wrapper ('client/js/api.js') intercepts all outgoing HTTP and WebSocket requests, automatically injecting the header 'Authorization: Bearer &lt;desktopToken&gt;'.</w:t>
              <w:br/>
              <w:t>4. The server authentication middleware ('server/middleware/auth.js') extracts the token from the Bearer header, validates its cryptographic JWT signature, and attaches the verified user identity to req.user. Seamless desktop persistence is achieved without cookie reliance.</w:t>
            </w:r>
          </w:p>
        </w:tc>
      </w:tr>
    </w:tbl>
    <w:p>
      <w:pPr>
        <w:spacing w:after="80"/>
      </w:pPr>
    </w:p>
    <w:p>
      <w:r>
        <w:br w:type="page"/>
      </w:r>
    </w:p>
    <w:p>
      <w:pPr>
        <w:pStyle w:val="Heading1"/>
        <w:keepNext/>
        <w:spacing w:before="400" w:after="160"/>
      </w:pPr>
      <w:r>
        <w:rPr>
          <w:b/>
          <w:color w:val="0A2540"/>
          <w:sz w:val="32"/>
        </w:rPr>
        <w:t>Chapter 3: Enterprise Identity Roster &amp; Detailed Seeded Persona Dossier</w:t>
      </w:r>
    </w:p>
    <w:p>
      <w:pPr>
        <w:spacing w:after="120" w:line="276" w:lineRule="auto"/>
      </w:pPr>
      <w:r>
        <w:rPr>
          <w:color w:val="1E293B"/>
        </w:rPr>
        <w:t>To provide competition judges and security evaluators with immediate, hands-on demonstration capabilities without requiring tedious manual data entry, NeuroShield comes pre-seeded with a comprehensive 8-member enterprise roster. Each persona is engineered to represent a specific organizational role, privilege tier, behavioral profile, and threat scenario.</w:t>
      </w:r>
    </w:p>
    <w:p>
      <w:pPr>
        <w:spacing w:after="120" w:line="276" w:lineRule="auto"/>
      </w:pPr>
      <w:r>
        <w:rPr>
          <w:color w:val="1E293B"/>
        </w:rPr>
        <w:t>All demo personas share the standardized master evaluation password: Password123!</w:t>
      </w:r>
    </w:p>
    <w:tbl>
      <w:tblPr>
        <w:tblW w:type="auto" w:w="0"/>
        <w:jc w:val="center"/>
        <w:tblLook w:firstColumn="1" w:firstRow="1" w:lastColumn="0" w:lastRow="0" w:noHBand="0" w:noVBand="1" w:val="04A0"/>
      </w:tblPr>
      <w:tblGrid>
        <w:gridCol w:w="1958"/>
        <w:gridCol w:w="1958"/>
        <w:gridCol w:w="1958"/>
        <w:gridCol w:w="1958"/>
        <w:gridCol w:w="1958"/>
      </w:tblGrid>
      <w:tr>
        <w:tc>
          <w:tcPr>
            <w:tcW w:type="dxa" w:w="2160"/>
            <w:shd w:fill="0F172A"/>
            <w:tcMar>
              <w:top w:w="130" w:type="dxa"/>
              <w:bottom w:w="130" w:type="dxa"/>
              <w:left w:w="130" w:type="dxa"/>
              <w:right w:w="130" w:type="dxa"/>
            </w:tcMar>
          </w:tcPr>
          <w:p>
            <w:pPr>
              <w:spacing w:before="40" w:after="40"/>
              <w:jc w:val="left"/>
            </w:pPr>
            <w:r>
              <w:rPr>
                <w:rFonts w:ascii="Calibri" w:hAnsi="Calibri"/>
                <w:b/>
                <w:color w:val="FFFFFF"/>
                <w:sz w:val="19"/>
              </w:rPr>
              <w:t>Persona Name</w:t>
            </w:r>
          </w:p>
        </w:tc>
        <w:tc>
          <w:tcPr>
            <w:tcW w:type="dxa" w:w="2592"/>
            <w:shd w:fill="0F172A"/>
            <w:tcMar>
              <w:top w:w="130" w:type="dxa"/>
              <w:bottom w:w="130" w:type="dxa"/>
              <w:left w:w="130" w:type="dxa"/>
              <w:right w:w="130" w:type="dxa"/>
            </w:tcMar>
          </w:tcPr>
          <w:p>
            <w:pPr>
              <w:spacing w:before="40" w:after="40"/>
              <w:jc w:val="left"/>
            </w:pPr>
            <w:r>
              <w:rPr>
                <w:rFonts w:ascii="Calibri" w:hAnsi="Calibri"/>
                <w:b/>
                <w:color w:val="FFFFFF"/>
                <w:sz w:val="19"/>
              </w:rPr>
              <w:t>Email Address</w:t>
            </w:r>
          </w:p>
        </w:tc>
        <w:tc>
          <w:tcPr>
            <w:tcW w:type="dxa" w:w="1584"/>
            <w:shd w:fill="0F172A"/>
            <w:tcMar>
              <w:top w:w="130" w:type="dxa"/>
              <w:bottom w:w="130" w:type="dxa"/>
              <w:left w:w="130" w:type="dxa"/>
              <w:right w:w="130" w:type="dxa"/>
            </w:tcMar>
          </w:tcPr>
          <w:p>
            <w:pPr>
              <w:spacing w:before="40" w:after="40"/>
              <w:jc w:val="left"/>
            </w:pPr>
            <w:r>
              <w:rPr>
                <w:rFonts w:ascii="Calibri" w:hAnsi="Calibri"/>
                <w:b/>
                <w:color w:val="FFFFFF"/>
                <w:sz w:val="19"/>
              </w:rPr>
              <w:t>Role Tier</w:t>
            </w:r>
          </w:p>
        </w:tc>
        <w:tc>
          <w:tcPr>
            <w:tcW w:type="dxa" w:w="1440"/>
            <w:shd w:fill="0F172A"/>
            <w:tcMar>
              <w:top w:w="130" w:type="dxa"/>
              <w:bottom w:w="130" w:type="dxa"/>
              <w:left w:w="130" w:type="dxa"/>
              <w:right w:w="130" w:type="dxa"/>
            </w:tcMar>
          </w:tcPr>
          <w:p>
            <w:pPr>
              <w:spacing w:before="40" w:after="40"/>
              <w:jc w:val="left"/>
            </w:pPr>
            <w:r>
              <w:rPr>
                <w:rFonts w:ascii="Calibri" w:hAnsi="Calibri"/>
                <w:b/>
                <w:color w:val="FFFFFF"/>
                <w:sz w:val="19"/>
              </w:rPr>
              <w:t>Account Status</w:t>
            </w:r>
          </w:p>
        </w:tc>
        <w:tc>
          <w:tcPr>
            <w:tcW w:type="dxa" w:w="2592"/>
            <w:shd w:fill="0F172A"/>
            <w:tcMar>
              <w:top w:w="130" w:type="dxa"/>
              <w:bottom w:w="130" w:type="dxa"/>
              <w:left w:w="130" w:type="dxa"/>
              <w:right w:w="130" w:type="dxa"/>
            </w:tcMar>
          </w:tcPr>
          <w:p>
            <w:pPr>
              <w:spacing w:before="40" w:after="40"/>
              <w:jc w:val="left"/>
            </w:pPr>
            <w:r>
              <w:rPr>
                <w:rFonts w:ascii="Calibri" w:hAnsi="Calibri"/>
                <w:b/>
                <w:color w:val="FFFFFF"/>
                <w:sz w:val="19"/>
              </w:rPr>
              <w:t>Judges Evaluation Scenario</w:t>
            </w:r>
          </w:p>
        </w:tc>
      </w:tr>
      <w:tr>
        <w:tc>
          <w:tcPr>
            <w:tcW w:type="dxa" w:w="2160"/>
            <w:shd w:fill="FFFFFF"/>
            <w:tcMar>
              <w:top w:w="80" w:type="dxa"/>
              <w:bottom w:w="80" w:type="dxa"/>
              <w:left w:w="130" w:type="dxa"/>
              <w:right w:w="130" w:type="dxa"/>
            </w:tcMar>
          </w:tcPr>
          <w:p>
            <w:pPr>
              <w:spacing w:before="40" w:after="40"/>
            </w:pPr>
            <w:r>
              <w:rPr>
                <w:rFonts w:ascii="Calibri" w:hAnsi="Calibri"/>
                <w:b/>
                <w:color w:val="1E293B"/>
                <w:sz w:val="18"/>
              </w:rPr>
              <w:t>Marcus Vance</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admin@neuroshield.local</w:t>
            </w:r>
          </w:p>
        </w:tc>
        <w:tc>
          <w:tcPr>
            <w:tcW w:type="dxa" w:w="1584"/>
            <w:shd w:fill="FFFFFF"/>
            <w:tcMar>
              <w:top w:w="80" w:type="dxa"/>
              <w:bottom w:w="80" w:type="dxa"/>
              <w:left w:w="130" w:type="dxa"/>
              <w:right w:w="130" w:type="dxa"/>
            </w:tcMar>
          </w:tcPr>
          <w:p>
            <w:pPr>
              <w:spacing w:before="40" w:after="40"/>
            </w:pPr>
            <w:r>
              <w:rPr>
                <w:rFonts w:ascii="Calibri" w:hAnsi="Calibri"/>
                <w:color w:val="1E293B"/>
                <w:sz w:val="18"/>
              </w:rPr>
              <w:t>ADMIN</w:t>
            </w:r>
          </w:p>
        </w:tc>
        <w:tc>
          <w:tcPr>
            <w:tcW w:type="dxa" w:w="1440"/>
            <w:shd w:fill="FFFFFF"/>
            <w:tcMar>
              <w:top w:w="80" w:type="dxa"/>
              <w:bottom w:w="80" w:type="dxa"/>
              <w:left w:w="130" w:type="dxa"/>
              <w:right w:w="130" w:type="dxa"/>
            </w:tcMar>
          </w:tcPr>
          <w:p>
            <w:pPr>
              <w:spacing w:before="40" w:after="40"/>
            </w:pPr>
            <w:r>
              <w:rPr>
                <w:rFonts w:ascii="Calibri" w:hAnsi="Calibri"/>
                <w:color w:val="1E293B"/>
                <w:sz w:val="18"/>
              </w:rPr>
              <w:t>ACTIVE</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Full SOC command, MITRE Attack Graph, FIM Canary Tripwire</w:t>
            </w:r>
          </w:p>
        </w:tc>
      </w:tr>
      <w:tr>
        <w:tc>
          <w:tcPr>
            <w:tcW w:type="dxa" w:w="2160"/>
            <w:shd w:fill="F8FAFC"/>
            <w:tcMar>
              <w:top w:w="80" w:type="dxa"/>
              <w:bottom w:w="80" w:type="dxa"/>
              <w:left w:w="130" w:type="dxa"/>
              <w:right w:w="130" w:type="dxa"/>
            </w:tcMar>
          </w:tcPr>
          <w:p>
            <w:pPr>
              <w:spacing w:before="40" w:after="40"/>
            </w:pPr>
            <w:r>
              <w:rPr>
                <w:rFonts w:ascii="Calibri" w:hAnsi="Calibri"/>
                <w:b/>
                <w:color w:val="1E293B"/>
                <w:sz w:val="18"/>
              </w:rPr>
              <w:t>Dr. Arthur Pendelton</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ciso@neuroshield.local</w:t>
            </w:r>
          </w:p>
        </w:tc>
        <w:tc>
          <w:tcPr>
            <w:tcW w:type="dxa" w:w="1584"/>
            <w:shd w:fill="F8FAFC"/>
            <w:tcMar>
              <w:top w:w="80" w:type="dxa"/>
              <w:bottom w:w="80" w:type="dxa"/>
              <w:left w:w="130" w:type="dxa"/>
              <w:right w:w="130" w:type="dxa"/>
            </w:tcMar>
          </w:tcPr>
          <w:p>
            <w:pPr>
              <w:spacing w:before="40" w:after="40"/>
            </w:pPr>
            <w:r>
              <w:rPr>
                <w:rFonts w:ascii="Calibri" w:hAnsi="Calibri"/>
                <w:color w:val="1E293B"/>
                <w:sz w:val="18"/>
              </w:rPr>
              <w:t>ADMIN</w:t>
            </w:r>
          </w:p>
        </w:tc>
        <w:tc>
          <w:tcPr>
            <w:tcW w:type="dxa" w:w="1440"/>
            <w:shd w:fill="F8FAFC"/>
            <w:tcMar>
              <w:top w:w="80" w:type="dxa"/>
              <w:bottom w:w="80" w:type="dxa"/>
              <w:left w:w="130" w:type="dxa"/>
              <w:right w:w="130" w:type="dxa"/>
            </w:tcMar>
          </w:tcPr>
          <w:p>
            <w:pPr>
              <w:spacing w:before="40" w:after="40"/>
            </w:pPr>
            <w:r>
              <w:rPr>
                <w:rFonts w:ascii="Calibri" w:hAnsi="Calibri"/>
                <w:color w:val="1E293B"/>
                <w:sz w:val="18"/>
              </w:rPr>
              <w:t>ACTIVE</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Executive governance, compliance reports, policy enforcement</w:t>
            </w:r>
          </w:p>
        </w:tc>
      </w:tr>
      <w:tr>
        <w:tc>
          <w:tcPr>
            <w:tcW w:type="dxa" w:w="2160"/>
            <w:shd w:fill="FFFFFF"/>
            <w:tcMar>
              <w:top w:w="80" w:type="dxa"/>
              <w:bottom w:w="80" w:type="dxa"/>
              <w:left w:w="130" w:type="dxa"/>
              <w:right w:w="130" w:type="dxa"/>
            </w:tcMar>
          </w:tcPr>
          <w:p>
            <w:pPr>
              <w:spacing w:before="40" w:after="40"/>
            </w:pPr>
            <w:r>
              <w:rPr>
                <w:rFonts w:ascii="Calibri" w:hAnsi="Calibri"/>
                <w:b/>
                <w:color w:val="1E293B"/>
                <w:sz w:val="18"/>
              </w:rPr>
              <w:t>Elena Rostova</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analyst@neuroshield.local</w:t>
            </w:r>
          </w:p>
        </w:tc>
        <w:tc>
          <w:tcPr>
            <w:tcW w:type="dxa" w:w="1584"/>
            <w:shd w:fill="FFFFFF"/>
            <w:tcMar>
              <w:top w:w="80" w:type="dxa"/>
              <w:bottom w:w="80" w:type="dxa"/>
              <w:left w:w="130" w:type="dxa"/>
              <w:right w:w="130" w:type="dxa"/>
            </w:tcMar>
          </w:tcPr>
          <w:p>
            <w:pPr>
              <w:spacing w:before="40" w:after="40"/>
            </w:pPr>
            <w:r>
              <w:rPr>
                <w:rFonts w:ascii="Calibri" w:hAnsi="Calibri"/>
                <w:color w:val="1E293B"/>
                <w:sz w:val="18"/>
              </w:rPr>
              <w:t>SECURITY_ANALYST</w:t>
            </w:r>
          </w:p>
        </w:tc>
        <w:tc>
          <w:tcPr>
            <w:tcW w:type="dxa" w:w="1440"/>
            <w:shd w:fill="FFFFFF"/>
            <w:tcMar>
              <w:top w:w="80" w:type="dxa"/>
              <w:bottom w:w="80" w:type="dxa"/>
              <w:left w:w="130" w:type="dxa"/>
              <w:right w:w="130" w:type="dxa"/>
            </w:tcMar>
          </w:tcPr>
          <w:p>
            <w:pPr>
              <w:spacing w:before="40" w:after="40"/>
            </w:pPr>
            <w:r>
              <w:rPr>
                <w:rFonts w:ascii="Calibri" w:hAnsi="Calibri"/>
                <w:color w:val="1E293B"/>
                <w:sz w:val="18"/>
              </w:rPr>
              <w:t>ACTIVE</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Threat hunting, 10-step attack simulation, forensic log inspection</w:t>
            </w:r>
          </w:p>
        </w:tc>
      </w:tr>
      <w:tr>
        <w:tc>
          <w:tcPr>
            <w:tcW w:type="dxa" w:w="2160"/>
            <w:shd w:fill="F8FAFC"/>
            <w:tcMar>
              <w:top w:w="80" w:type="dxa"/>
              <w:bottom w:w="80" w:type="dxa"/>
              <w:left w:w="130" w:type="dxa"/>
              <w:right w:w="130" w:type="dxa"/>
            </w:tcMar>
          </w:tcPr>
          <w:p>
            <w:pPr>
              <w:spacing w:before="40" w:after="40"/>
            </w:pPr>
            <w:r>
              <w:rPr>
                <w:rFonts w:ascii="Calibri" w:hAnsi="Calibri"/>
                <w:b/>
                <w:color w:val="1E293B"/>
                <w:sz w:val="18"/>
              </w:rPr>
              <w:t>Alex Chen</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devops@neuroshield.local</w:t>
            </w:r>
          </w:p>
        </w:tc>
        <w:tc>
          <w:tcPr>
            <w:tcW w:type="dxa" w:w="1584"/>
            <w:shd w:fill="F8FAFC"/>
            <w:tcMar>
              <w:top w:w="80" w:type="dxa"/>
              <w:bottom w:w="80" w:type="dxa"/>
              <w:left w:w="130" w:type="dxa"/>
              <w:right w:w="130" w:type="dxa"/>
            </w:tcMar>
          </w:tcPr>
          <w:p>
            <w:pPr>
              <w:spacing w:before="40" w:after="40"/>
            </w:pPr>
            <w:r>
              <w:rPr>
                <w:rFonts w:ascii="Calibri" w:hAnsi="Calibri"/>
                <w:color w:val="1E293B"/>
                <w:sz w:val="18"/>
              </w:rPr>
              <w:t>EMPLOYEE</w:t>
            </w:r>
          </w:p>
        </w:tc>
        <w:tc>
          <w:tcPr>
            <w:tcW w:type="dxa" w:w="1440"/>
            <w:shd w:fill="F8FAFC"/>
            <w:tcMar>
              <w:top w:w="80" w:type="dxa"/>
              <w:bottom w:w="80" w:type="dxa"/>
              <w:left w:w="130" w:type="dxa"/>
              <w:right w:w="130" w:type="dxa"/>
            </w:tcMar>
          </w:tcPr>
          <w:p>
            <w:pPr>
              <w:spacing w:before="40" w:after="40"/>
            </w:pPr>
            <w:r>
              <w:rPr>
                <w:rFonts w:ascii="Calibri" w:hAnsi="Calibri"/>
                <w:color w:val="1E293B"/>
                <w:sz w:val="18"/>
              </w:rPr>
              <w:t>ACTIVE</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Privileged engineer, fast typing baseline (95 WPM), lateral path target</w:t>
            </w:r>
          </w:p>
        </w:tc>
      </w:tr>
      <w:tr>
        <w:tc>
          <w:tcPr>
            <w:tcW w:type="dxa" w:w="2160"/>
            <w:shd w:fill="FFFFFF"/>
            <w:tcMar>
              <w:top w:w="80" w:type="dxa"/>
              <w:bottom w:w="80" w:type="dxa"/>
              <w:left w:w="130" w:type="dxa"/>
              <w:right w:w="130" w:type="dxa"/>
            </w:tcMar>
          </w:tcPr>
          <w:p>
            <w:pPr>
              <w:spacing w:before="40" w:after="40"/>
            </w:pPr>
            <w:r>
              <w:rPr>
                <w:rFonts w:ascii="Calibri" w:hAnsi="Calibri"/>
                <w:b/>
                <w:color w:val="1E293B"/>
                <w:sz w:val="18"/>
              </w:rPr>
              <w:t>Sarah Jenkins</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finance@neuroshield.local</w:t>
            </w:r>
          </w:p>
        </w:tc>
        <w:tc>
          <w:tcPr>
            <w:tcW w:type="dxa" w:w="1584"/>
            <w:shd w:fill="FFFFFF"/>
            <w:tcMar>
              <w:top w:w="80" w:type="dxa"/>
              <w:bottom w:w="80" w:type="dxa"/>
              <w:left w:w="130" w:type="dxa"/>
              <w:right w:w="130" w:type="dxa"/>
            </w:tcMar>
          </w:tcPr>
          <w:p>
            <w:pPr>
              <w:spacing w:before="40" w:after="40"/>
            </w:pPr>
            <w:r>
              <w:rPr>
                <w:rFonts w:ascii="Calibri" w:hAnsi="Calibri"/>
                <w:color w:val="1E293B"/>
                <w:sz w:val="18"/>
              </w:rPr>
              <w:t>EMPLOYEE</w:t>
            </w:r>
          </w:p>
        </w:tc>
        <w:tc>
          <w:tcPr>
            <w:tcW w:type="dxa" w:w="1440"/>
            <w:shd w:fill="FFFFFF"/>
            <w:tcMar>
              <w:top w:w="80" w:type="dxa"/>
              <w:bottom w:w="80" w:type="dxa"/>
              <w:left w:w="130" w:type="dxa"/>
              <w:right w:w="130" w:type="dxa"/>
            </w:tcMar>
          </w:tcPr>
          <w:p>
            <w:pPr>
              <w:spacing w:before="40" w:after="40"/>
            </w:pPr>
            <w:r>
              <w:rPr>
                <w:rFonts w:ascii="Calibri" w:hAnsi="Calibri"/>
                <w:color w:val="1E293B"/>
                <w:sz w:val="18"/>
              </w:rPr>
              <w:t>ACTIVE</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High-value phishing target, BEC vulnerability modeling</w:t>
            </w:r>
          </w:p>
        </w:tc>
      </w:tr>
      <w:tr>
        <w:tc>
          <w:tcPr>
            <w:tcW w:type="dxa" w:w="2160"/>
            <w:shd w:fill="F8FAFC"/>
            <w:tcMar>
              <w:top w:w="80" w:type="dxa"/>
              <w:bottom w:w="80" w:type="dxa"/>
              <w:left w:w="130" w:type="dxa"/>
              <w:right w:w="130" w:type="dxa"/>
            </w:tcMar>
          </w:tcPr>
          <w:p>
            <w:pPr>
              <w:spacing w:before="40" w:after="40"/>
            </w:pPr>
            <w:r>
              <w:rPr>
                <w:rFonts w:ascii="Calibri" w:hAnsi="Calibri"/>
                <w:b/>
                <w:color w:val="1E293B"/>
                <w:sz w:val="18"/>
              </w:rPr>
              <w:t>David Miller</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insider@neuroshield.local</w:t>
            </w:r>
          </w:p>
        </w:tc>
        <w:tc>
          <w:tcPr>
            <w:tcW w:type="dxa" w:w="1584"/>
            <w:shd w:fill="F8FAFC"/>
            <w:tcMar>
              <w:top w:w="80" w:type="dxa"/>
              <w:bottom w:w="80" w:type="dxa"/>
              <w:left w:w="130" w:type="dxa"/>
              <w:right w:w="130" w:type="dxa"/>
            </w:tcMar>
          </w:tcPr>
          <w:p>
            <w:pPr>
              <w:spacing w:before="40" w:after="40"/>
            </w:pPr>
            <w:r>
              <w:rPr>
                <w:rFonts w:ascii="Calibri" w:hAnsi="Calibri"/>
                <w:color w:val="1E293B"/>
                <w:sz w:val="18"/>
              </w:rPr>
              <w:t>EMPLOYEE</w:t>
            </w:r>
          </w:p>
        </w:tc>
        <w:tc>
          <w:tcPr>
            <w:tcW w:type="dxa" w:w="1440"/>
            <w:shd w:fill="F8FAFC"/>
            <w:tcMar>
              <w:top w:w="80" w:type="dxa"/>
              <w:bottom w:w="80" w:type="dxa"/>
              <w:left w:w="130" w:type="dxa"/>
              <w:right w:w="130" w:type="dxa"/>
            </w:tcMar>
          </w:tcPr>
          <w:p>
            <w:pPr>
              <w:spacing w:before="40" w:after="40"/>
            </w:pPr>
            <w:r>
              <w:rPr>
                <w:rFonts w:ascii="Calibri" w:hAnsi="Calibri"/>
                <w:color w:val="1E293B"/>
                <w:sz w:val="18"/>
              </w:rPr>
              <w:t>SUSPENDED</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Compromised insider, anomalous 3 AM login, locked workstation demo</w:t>
            </w:r>
          </w:p>
        </w:tc>
      </w:tr>
      <w:tr>
        <w:tc>
          <w:tcPr>
            <w:tcW w:type="dxa" w:w="2160"/>
            <w:shd w:fill="FFFFFF"/>
            <w:tcMar>
              <w:top w:w="80" w:type="dxa"/>
              <w:bottom w:w="80" w:type="dxa"/>
              <w:left w:w="130" w:type="dxa"/>
              <w:right w:w="130" w:type="dxa"/>
            </w:tcMar>
          </w:tcPr>
          <w:p>
            <w:pPr>
              <w:spacing w:before="40" w:after="40"/>
            </w:pPr>
            <w:r>
              <w:rPr>
                <w:rFonts w:ascii="Calibri" w:hAnsi="Calibri"/>
                <w:b/>
                <w:color w:val="1E293B"/>
                <w:sz w:val="18"/>
              </w:rPr>
              <w:t>Rachel Adams</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auditor@neuroshield.local</w:t>
            </w:r>
          </w:p>
        </w:tc>
        <w:tc>
          <w:tcPr>
            <w:tcW w:type="dxa" w:w="1584"/>
            <w:shd w:fill="FFFFFF"/>
            <w:tcMar>
              <w:top w:w="80" w:type="dxa"/>
              <w:bottom w:w="80" w:type="dxa"/>
              <w:left w:w="130" w:type="dxa"/>
              <w:right w:w="130" w:type="dxa"/>
            </w:tcMar>
          </w:tcPr>
          <w:p>
            <w:pPr>
              <w:spacing w:before="40" w:after="40"/>
            </w:pPr>
            <w:r>
              <w:rPr>
                <w:rFonts w:ascii="Calibri" w:hAnsi="Calibri"/>
                <w:color w:val="1E293B"/>
                <w:sz w:val="18"/>
              </w:rPr>
              <w:t>AUDITOR</w:t>
            </w:r>
          </w:p>
        </w:tc>
        <w:tc>
          <w:tcPr>
            <w:tcW w:type="dxa" w:w="1440"/>
            <w:shd w:fill="FFFFFF"/>
            <w:tcMar>
              <w:top w:w="80" w:type="dxa"/>
              <w:bottom w:w="80" w:type="dxa"/>
              <w:left w:w="130" w:type="dxa"/>
              <w:right w:w="130" w:type="dxa"/>
            </w:tcMar>
          </w:tcPr>
          <w:p>
            <w:pPr>
              <w:spacing w:before="40" w:after="40"/>
            </w:pPr>
            <w:r>
              <w:rPr>
                <w:rFonts w:ascii="Calibri" w:hAnsi="Calibri"/>
                <w:color w:val="1E293B"/>
                <w:sz w:val="18"/>
              </w:rPr>
              <w:t>ACTIVE</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Regulatory oversight, read-only immutable audit logs</w:t>
            </w:r>
          </w:p>
        </w:tc>
      </w:tr>
      <w:tr>
        <w:tc>
          <w:tcPr>
            <w:tcW w:type="dxa" w:w="2160"/>
            <w:shd w:fill="F8FAFC"/>
            <w:tcMar>
              <w:top w:w="80" w:type="dxa"/>
              <w:bottom w:w="80" w:type="dxa"/>
              <w:left w:w="130" w:type="dxa"/>
              <w:right w:w="130" w:type="dxa"/>
            </w:tcMar>
          </w:tcPr>
          <w:p>
            <w:pPr>
              <w:spacing w:before="40" w:after="40"/>
            </w:pPr>
            <w:r>
              <w:rPr>
                <w:rFonts w:ascii="Calibri" w:hAnsi="Calibri"/>
                <w:b/>
                <w:color w:val="1E293B"/>
                <w:sz w:val="18"/>
              </w:rPr>
              <w:t>Jane Doe</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employee@neuroshield.local</w:t>
            </w:r>
          </w:p>
        </w:tc>
        <w:tc>
          <w:tcPr>
            <w:tcW w:type="dxa" w:w="1584"/>
            <w:shd w:fill="F8FAFC"/>
            <w:tcMar>
              <w:top w:w="80" w:type="dxa"/>
              <w:bottom w:w="80" w:type="dxa"/>
              <w:left w:w="130" w:type="dxa"/>
              <w:right w:w="130" w:type="dxa"/>
            </w:tcMar>
          </w:tcPr>
          <w:p>
            <w:pPr>
              <w:spacing w:before="40" w:after="40"/>
            </w:pPr>
            <w:r>
              <w:rPr>
                <w:rFonts w:ascii="Calibri" w:hAnsi="Calibri"/>
                <w:color w:val="1E293B"/>
                <w:sz w:val="18"/>
              </w:rPr>
              <w:t>EMPLOYEE</w:t>
            </w:r>
          </w:p>
        </w:tc>
        <w:tc>
          <w:tcPr>
            <w:tcW w:type="dxa" w:w="1440"/>
            <w:shd w:fill="F8FAFC"/>
            <w:tcMar>
              <w:top w:w="80" w:type="dxa"/>
              <w:bottom w:w="80" w:type="dxa"/>
              <w:left w:w="130" w:type="dxa"/>
              <w:right w:w="130" w:type="dxa"/>
            </w:tcMar>
          </w:tcPr>
          <w:p>
            <w:pPr>
              <w:spacing w:before="40" w:after="40"/>
            </w:pPr>
            <w:r>
              <w:rPr>
                <w:rFonts w:ascii="Calibri" w:hAnsi="Calibri"/>
                <w:color w:val="1E293B"/>
                <w:sz w:val="18"/>
              </w:rPr>
              <w:t>ACTIVE</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Standard baseline employee, interactive typing calibration sandbox</w:t>
            </w:r>
          </w:p>
        </w:tc>
      </w:tr>
    </w:tbl>
    <w:p>
      <w:pPr>
        <w:pStyle w:val="Heading2"/>
        <w:keepNext/>
        <w:spacing w:before="280" w:after="120"/>
      </w:pPr>
      <w:r>
        <w:rPr>
          <w:b/>
          <w:color w:val="0284C7"/>
          <w:sz w:val="25"/>
        </w:rPr>
        <w:t>3.1 Detailed Dossiers of Key Demonstration Personas</w:t>
      </w:r>
    </w:p>
    <w:p>
      <w:pPr>
        <w:spacing w:after="120" w:line="276" w:lineRule="auto"/>
      </w:pPr>
      <w:r>
        <w:rPr>
          <w:b/>
          <w:color w:val="0F172A"/>
        </w:rPr>
        <w:t xml:space="preserve">[PERSONA 1] </w:t>
      </w:r>
      <w:r>
        <w:rPr>
          <w:color w:val="1E293B"/>
        </w:rPr>
        <w:t>Dossier 1: Marcus Vance — SOC Administrator (admin@neuroshield.local)</w:t>
      </w:r>
    </w:p>
    <w:p>
      <w:pPr>
        <w:spacing w:after="120" w:line="276" w:lineRule="auto"/>
      </w:pPr>
      <w:r>
        <w:rPr>
          <w:color w:val="1E293B"/>
        </w:rPr>
        <w:t>• Organizational Function: Principal Security Operations Center (SOC) Administrator with unrestricted clearance across all systems.</w:t>
        <w:br/>
        <w:t>• RBAC Authorization: Read/Write/Execute across all 5 Defense Layers, user management, policy overrides, and simulation triggers.</w:t>
        <w:br/>
        <w:t>• Behavioral Profile: Calibrated with standard administrative cadence (70 WPM, 110ms IKI, 500 px/s mouse velocity, typical session hours 08:00 - 18:00).</w:t>
        <w:br/>
        <w:t>• Demonstration Scenario: Log in as Marcus to demonstrate full SOC oversight. Walk the judges through the interactive Attack Graph, execute the 10-step MITRE simulation, trip the FIM Canary tripwire, and demonstrate user role modifications in the RBAC console.</w:t>
      </w:r>
    </w:p>
    <w:p>
      <w:pPr>
        <w:spacing w:after="120" w:line="276" w:lineRule="auto"/>
      </w:pPr>
      <w:r>
        <w:rPr>
          <w:b/>
          <w:color w:val="0F172A"/>
        </w:rPr>
        <w:t xml:space="preserve">[PERSONA 2] </w:t>
      </w:r>
      <w:r>
        <w:rPr>
          <w:color w:val="1E293B"/>
        </w:rPr>
        <w:t>Dossier 2: Elena Rostova — Lead Threat Analyst (analyst@neuroshield.local)</w:t>
      </w:r>
    </w:p>
    <w:p>
      <w:pPr>
        <w:spacing w:after="120" w:line="276" w:lineRule="auto"/>
      </w:pPr>
      <w:r>
        <w:rPr>
          <w:color w:val="1E293B"/>
        </w:rPr>
        <w:t>• Organizational Function: Forensic investigator and threat hunter responsible for triaging security incidents and evaluating killchains.</w:t>
        <w:br/>
        <w:t>• RBAC Authorization: Authorized for Threat Prediction, Behavioral Analysis, Audit Logs, and Deception Decoys. Restricted from modifying admin passwords.</w:t>
        <w:br/>
        <w:t>• Demonstration Scenario: Log in as Elena to demonstrate role-based access control. Show that high-privilege administrative settings are hidden or restricted, while full threat hunting, attack path analysis, and event log inspection remain active.</w:t>
      </w:r>
    </w:p>
    <w:p>
      <w:pPr>
        <w:spacing w:after="120" w:line="276" w:lineRule="auto"/>
      </w:pPr>
      <w:r>
        <w:rPr>
          <w:b/>
          <w:color w:val="0F172A"/>
        </w:rPr>
        <w:t xml:space="preserve">[PERSONA 3] </w:t>
      </w:r>
      <w:r>
        <w:rPr>
          <w:color w:val="1E293B"/>
        </w:rPr>
        <w:t>Dossier 3: David Miller — Suspicious Insider (insider@neuroshield.local)</w:t>
      </w:r>
    </w:p>
    <w:p>
      <w:pPr>
        <w:spacing w:after="120" w:line="276" w:lineRule="auto"/>
      </w:pPr>
      <w:r>
        <w:rPr>
          <w:color w:val="1E293B"/>
        </w:rPr>
        <w:t>• Organizational Function: Former systems operator whose account has exhibited multiple anomalous indicators.</w:t>
        <w:br/>
        <w:t>• Behavioral Profile: Pre-seeded with an intentionally anomalous baseline: typing speed of 175 WPM (deviation from corporate average), inter-key interval of 25ms, erratic mouse velocity of 1450 px/s with 450 px/s² acceleration, and an abnormal session hour of 03:00 AM.</w:t>
        <w:br/>
        <w:t>• Demonstration Scenario: Pre-configured with account status SUSPENDED. Demonstrate how NeuroShield's automated Zero-Trust engine flags compromised internal identities and isolates their access.</w:t>
      </w:r>
    </w:p>
    <w:p>
      <w:pPr>
        <w:spacing w:after="120" w:line="276" w:lineRule="auto"/>
      </w:pPr>
      <w:r>
        <w:rPr>
          <w:b/>
          <w:color w:val="0F172A"/>
        </w:rPr>
        <w:t xml:space="preserve">[PERSONA 4] </w:t>
      </w:r>
      <w:r>
        <w:rPr>
          <w:color w:val="1E293B"/>
        </w:rPr>
        <w:t>Dossier 4: Jane Doe — Standard Corporate Employee (employee@neuroshield.local)</w:t>
      </w:r>
    </w:p>
    <w:p>
      <w:pPr>
        <w:spacing w:after="120" w:line="276" w:lineRule="auto"/>
      </w:pPr>
      <w:r>
        <w:rPr>
          <w:color w:val="1E293B"/>
        </w:rPr>
        <w:t>• Organizational Function: Typical enterprise knowledge worker operating corporate productivity suites.</w:t>
        <w:br/>
        <w:t>• Behavioral Profile: Standard baseline (60 WPM, 120ms IKI, 450 px/s mouse speed, typical session hour 14:00).</w:t>
        <w:br/>
        <w:t>• Demonstration Scenario: Used for live interactive biometric calibration. Allow judges to type custom phrases in the Behavioral Engine sandbox and watch live WPM, Inter-Key Intervals, and classification models evaluate real-time physical dynamics.</w:t>
      </w:r>
    </w:p>
    <w:p>
      <w:pPr>
        <w:pStyle w:val="Heading2"/>
        <w:keepNext/>
        <w:spacing w:before="280" w:after="120"/>
      </w:pPr>
      <w:r>
        <w:rPr>
          <w:b/>
          <w:color w:val="0284C7"/>
          <w:sz w:val="25"/>
        </w:rPr>
        <w:t>3.2 Identity Lifecycle Management, User Enrollment &amp; Self-Service Password Recovery</w:t>
      </w:r>
    </w:p>
    <w:p>
      <w:pPr>
        <w:spacing w:after="120" w:line="276" w:lineRule="auto"/>
      </w:pPr>
      <w:r>
        <w:rPr>
          <w:color w:val="1E293B"/>
        </w:rPr>
        <w:t>Enterprise access governance requires continuous lifecycle control. NeuroShield provides built-in tools for both administrator provisioning and self-service account recovery:</w:t>
      </w:r>
    </w:p>
    <w:p>
      <w:pPr>
        <w:pStyle w:val="ListBullet"/>
        <w:spacing w:after="80" w:line="276" w:lineRule="auto"/>
      </w:pPr>
      <w:r>
        <w:rPr>
          <w:b/>
          <w:color w:val="0F172A"/>
        </w:rPr>
        <w:t xml:space="preserve">Interactive Identity Enrollment Modal: </w:t>
      </w:r>
      <w:r>
        <w:rPr>
          <w:color w:val="334155"/>
        </w:rPr>
        <w:t>Administrators can provision new zero-trust operators directly from the Identities &amp; Access console ('client/pages/users.html') via the '[ + ENROLL NEW IDENTITY ]' action button or through the REST API ('POST /api/users'). The modal supports assigning name, corporate email, temporary password, role tiers (ADMIN, SECURITY_ANALYST, AUDITOR, EMPLOYEE), and initial account status.</w:t>
      </w:r>
    </w:p>
    <w:p>
      <w:pPr>
        <w:pStyle w:val="ListBullet"/>
        <w:spacing w:after="80" w:line="276" w:lineRule="auto"/>
      </w:pPr>
      <w:r>
        <w:rPr>
          <w:b/>
          <w:color w:val="0F172A"/>
        </w:rPr>
        <w:t xml:space="preserve">Self-Service Password Recovery Drawer: </w:t>
      </w:r>
      <w:r>
        <w:rPr>
          <w:color w:val="334155"/>
        </w:rPr>
        <w:t>If an authorized user forgets their password, they can recover access directly from the login gateway ('client/login.html') via the '[ FORGOT PASSWORD? RESET CREDENTIALS ]' drawer. Submitting their verified corporate email and new password invokes 'POST /api/auth/reset-password', cryptographically updating the bcrypt hash and recording an immutable PASSWORD_RESET audit event.</w:t>
      </w:r>
    </w:p>
    <w:p>
      <w:pPr>
        <w:pStyle w:val="ListBullet"/>
        <w:spacing w:after="80" w:line="276" w:lineRule="auto"/>
      </w:pPr>
      <w:r>
        <w:rPr>
          <w:b/>
          <w:color w:val="0F172A"/>
        </w:rPr>
        <w:t xml:space="preserve">Administrator Credential Override: </w:t>
      </w:r>
      <w:r>
        <w:rPr>
          <w:color w:val="334155"/>
        </w:rPr>
        <w:t>Security administrators can update or reset credentials for any managed identity through 'PUT /api/users/:id', with full tamper-resistant audit trail logging.</w:t>
      </w:r>
    </w:p>
    <w:p>
      <w:r>
        <w:br w:type="page"/>
      </w:r>
    </w:p>
    <w:p>
      <w:pPr>
        <w:pStyle w:val="Heading1"/>
        <w:keepNext/>
        <w:spacing w:before="400" w:after="160"/>
      </w:pPr>
      <w:r>
        <w:rPr>
          <w:b/>
          <w:color w:val="0A2540"/>
          <w:sz w:val="32"/>
        </w:rPr>
        <w:t>Chapter 4: Layer 1 - Behavioral Identity Engine &amp; Mathematical Formulations</w:t>
      </w:r>
    </w:p>
    <w:p>
      <w:pPr>
        <w:spacing w:after="120" w:line="276" w:lineRule="auto"/>
      </w:pPr>
      <w:r>
        <w:rPr>
          <w:color w:val="1E293B"/>
        </w:rPr>
        <w:t>Static authentication mechanisms (passwords, PINs, smart cards) only verify possession of a credential at the instant of login. They provide zero defense against post-login workstation takeovers, shoulder-surfing, or session hijacking where an attacker takes control while an authorized user steps away. Layer 1 ('server/engines/behavior.js') resolves this by transforming subconscious physical typing and mouse movement into a continuous biometric verification mechanism.</w:t>
      </w:r>
    </w:p>
    <w:p>
      <w:pPr>
        <w:pStyle w:val="Heading2"/>
        <w:keepNext/>
        <w:spacing w:before="280" w:after="120"/>
      </w:pPr>
      <w:r>
        <w:rPr>
          <w:b/>
          <w:color w:val="0284C7"/>
          <w:sz w:val="25"/>
        </w:rPr>
        <w:t>4.1 Extracted Biometric Feature Vector</w:t>
      </w:r>
    </w:p>
    <w:p>
      <w:pPr>
        <w:spacing w:after="120" w:line="276" w:lineRule="auto"/>
      </w:pPr>
      <w:r>
        <w:rPr>
          <w:color w:val="1E293B"/>
        </w:rPr>
        <w:t>For every active session, the telemetry collector extracts a 7-dimensional standardized feature vector x = [x_1, x_2, ..., x_7]:</w:t>
      </w:r>
    </w:p>
    <w:tbl>
      <w:tblPr>
        <w:tblW w:type="auto" w:w="0"/>
        <w:jc w:val="center"/>
        <w:tblLook w:firstColumn="1" w:firstRow="1" w:lastColumn="0" w:lastRow="0" w:noHBand="0" w:noVBand="1" w:val="04A0"/>
      </w:tblPr>
      <w:tblGrid>
        <w:gridCol w:w="2448"/>
        <w:gridCol w:w="2448"/>
        <w:gridCol w:w="2448"/>
        <w:gridCol w:w="2448"/>
      </w:tblGrid>
      <w:tr>
        <w:tc>
          <w:tcPr>
            <w:tcW w:type="dxa" w:w="1728"/>
            <w:shd w:fill="0F172A"/>
            <w:tcMar>
              <w:top w:w="130" w:type="dxa"/>
              <w:bottom w:w="130" w:type="dxa"/>
              <w:left w:w="130" w:type="dxa"/>
              <w:right w:w="130" w:type="dxa"/>
            </w:tcMar>
          </w:tcPr>
          <w:p>
            <w:pPr>
              <w:spacing w:before="40" w:after="40"/>
              <w:jc w:val="left"/>
            </w:pPr>
            <w:r>
              <w:rPr>
                <w:rFonts w:ascii="Calibri" w:hAnsi="Calibri"/>
                <w:b/>
                <w:color w:val="FFFFFF"/>
                <w:sz w:val="19"/>
              </w:rPr>
              <w:t>Feature</w:t>
            </w:r>
          </w:p>
        </w:tc>
        <w:tc>
          <w:tcPr>
            <w:tcW w:type="dxa" w:w="2592"/>
            <w:shd w:fill="0F172A"/>
            <w:tcMar>
              <w:top w:w="130" w:type="dxa"/>
              <w:bottom w:w="130" w:type="dxa"/>
              <w:left w:w="130" w:type="dxa"/>
              <w:right w:w="130" w:type="dxa"/>
            </w:tcMar>
          </w:tcPr>
          <w:p>
            <w:pPr>
              <w:spacing w:before="40" w:after="40"/>
              <w:jc w:val="left"/>
            </w:pPr>
            <w:r>
              <w:rPr>
                <w:rFonts w:ascii="Calibri" w:hAnsi="Calibri"/>
                <w:b/>
                <w:color w:val="FFFFFF"/>
                <w:sz w:val="19"/>
              </w:rPr>
              <w:t>Mathematical Definition</w:t>
            </w:r>
          </w:p>
        </w:tc>
        <w:tc>
          <w:tcPr>
            <w:tcW w:type="dxa" w:w="2016"/>
            <w:shd w:fill="0F172A"/>
            <w:tcMar>
              <w:top w:w="130" w:type="dxa"/>
              <w:bottom w:w="130" w:type="dxa"/>
              <w:left w:w="130" w:type="dxa"/>
              <w:right w:w="130" w:type="dxa"/>
            </w:tcMar>
          </w:tcPr>
          <w:p>
            <w:pPr>
              <w:spacing w:before="40" w:after="40"/>
              <w:jc w:val="left"/>
            </w:pPr>
            <w:r>
              <w:rPr>
                <w:rFonts w:ascii="Calibri" w:hAnsi="Calibri"/>
                <w:b/>
                <w:color w:val="FFFFFF"/>
                <w:sz w:val="19"/>
              </w:rPr>
              <w:t>Nominal Range</w:t>
            </w:r>
          </w:p>
        </w:tc>
        <w:tc>
          <w:tcPr>
            <w:tcW w:type="dxa" w:w="4032"/>
            <w:shd w:fill="0F172A"/>
            <w:tcMar>
              <w:top w:w="130" w:type="dxa"/>
              <w:bottom w:w="130" w:type="dxa"/>
              <w:left w:w="130" w:type="dxa"/>
              <w:right w:w="130" w:type="dxa"/>
            </w:tcMar>
          </w:tcPr>
          <w:p>
            <w:pPr>
              <w:spacing w:before="40" w:after="40"/>
              <w:jc w:val="left"/>
            </w:pPr>
            <w:r>
              <w:rPr>
                <w:rFonts w:ascii="Calibri" w:hAnsi="Calibri"/>
                <w:b/>
                <w:color w:val="FFFFFF"/>
                <w:sz w:val="19"/>
              </w:rPr>
              <w:t>Physical &amp; Cognitive Signification</w:t>
            </w:r>
          </w:p>
        </w:tc>
      </w:tr>
      <w:tr>
        <w:tc>
          <w:tcPr>
            <w:tcW w:type="dxa" w:w="1728"/>
            <w:shd w:fill="FFFFFF"/>
            <w:tcMar>
              <w:top w:w="80" w:type="dxa"/>
              <w:bottom w:w="80" w:type="dxa"/>
              <w:left w:w="130" w:type="dxa"/>
              <w:right w:w="130" w:type="dxa"/>
            </w:tcMar>
          </w:tcPr>
          <w:p>
            <w:pPr>
              <w:spacing w:before="40" w:after="40"/>
            </w:pPr>
            <w:r>
              <w:rPr>
                <w:rFonts w:ascii="Calibri" w:hAnsi="Calibri"/>
                <w:b/>
                <w:color w:val="1E293B"/>
                <w:sz w:val="18"/>
              </w:rPr>
              <w:t>x_1: WPM</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Words Per Minute</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40 - 90 WPM</w:t>
            </w:r>
          </w:p>
        </w:tc>
        <w:tc>
          <w:tcPr>
            <w:tcW w:type="dxa" w:w="4032"/>
            <w:shd w:fill="FFFFFF"/>
            <w:tcMar>
              <w:top w:w="80" w:type="dxa"/>
              <w:bottom w:w="80" w:type="dxa"/>
              <w:left w:w="130" w:type="dxa"/>
              <w:right w:w="130" w:type="dxa"/>
            </w:tcMar>
          </w:tcPr>
          <w:p>
            <w:pPr>
              <w:spacing w:before="40" w:after="40"/>
            </w:pPr>
            <w:r>
              <w:rPr>
                <w:rFonts w:ascii="Calibri" w:hAnsi="Calibri"/>
                <w:color w:val="1E293B"/>
                <w:sz w:val="18"/>
              </w:rPr>
              <w:t>Cognitive text composition speed and motor coordination rate</w:t>
            </w:r>
          </w:p>
        </w:tc>
      </w:tr>
      <w:tr>
        <w:tc>
          <w:tcPr>
            <w:tcW w:type="dxa" w:w="1728"/>
            <w:shd w:fill="F8FAFC"/>
            <w:tcMar>
              <w:top w:w="80" w:type="dxa"/>
              <w:bottom w:w="80" w:type="dxa"/>
              <w:left w:w="130" w:type="dxa"/>
              <w:right w:w="130" w:type="dxa"/>
            </w:tcMar>
          </w:tcPr>
          <w:p>
            <w:pPr>
              <w:spacing w:before="40" w:after="40"/>
            </w:pPr>
            <w:r>
              <w:rPr>
                <w:rFonts w:ascii="Calibri" w:hAnsi="Calibri"/>
                <w:b/>
                <w:color w:val="1E293B"/>
                <w:sz w:val="18"/>
              </w:rPr>
              <w:t>x_2: IKI</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Inter-Key Interval (ms)</w:t>
            </w:r>
          </w:p>
        </w:tc>
        <w:tc>
          <w:tcPr>
            <w:tcW w:type="dxa" w:w="2016"/>
            <w:shd w:fill="F8FAFC"/>
            <w:tcMar>
              <w:top w:w="80" w:type="dxa"/>
              <w:bottom w:w="80" w:type="dxa"/>
              <w:left w:w="130" w:type="dxa"/>
              <w:right w:w="130" w:type="dxa"/>
            </w:tcMar>
          </w:tcPr>
          <w:p>
            <w:pPr>
              <w:spacing w:before="40" w:after="40"/>
            </w:pPr>
            <w:r>
              <w:rPr>
                <w:rFonts w:ascii="Calibri" w:hAnsi="Calibri"/>
                <w:color w:val="1E293B"/>
                <w:sz w:val="18"/>
              </w:rPr>
              <w:t>80 - 180 ms</w:t>
            </w:r>
          </w:p>
        </w:tc>
        <w:tc>
          <w:tcPr>
            <w:tcW w:type="dxa" w:w="4032"/>
            <w:shd w:fill="F8FAFC"/>
            <w:tcMar>
              <w:top w:w="80" w:type="dxa"/>
              <w:bottom w:w="80" w:type="dxa"/>
              <w:left w:w="130" w:type="dxa"/>
              <w:right w:w="130" w:type="dxa"/>
            </w:tcMar>
          </w:tcPr>
          <w:p>
            <w:pPr>
              <w:spacing w:before="40" w:after="40"/>
            </w:pPr>
            <w:r>
              <w:rPr>
                <w:rFonts w:ascii="Calibri" w:hAnsi="Calibri"/>
                <w:color w:val="1E293B"/>
                <w:sz w:val="18"/>
              </w:rPr>
              <w:t>Digraph and trigraph muscle memory transition latency</w:t>
            </w:r>
          </w:p>
        </w:tc>
      </w:tr>
      <w:tr>
        <w:tc>
          <w:tcPr>
            <w:tcW w:type="dxa" w:w="1728"/>
            <w:shd w:fill="FFFFFF"/>
            <w:tcMar>
              <w:top w:w="80" w:type="dxa"/>
              <w:bottom w:w="80" w:type="dxa"/>
              <w:left w:w="130" w:type="dxa"/>
              <w:right w:w="130" w:type="dxa"/>
            </w:tcMar>
          </w:tcPr>
          <w:p>
            <w:pPr>
              <w:spacing w:before="40" w:after="40"/>
            </w:pPr>
            <w:r>
              <w:rPr>
                <w:rFonts w:ascii="Calibri" w:hAnsi="Calibri"/>
                <w:b/>
                <w:color w:val="1E293B"/>
                <w:sz w:val="18"/>
              </w:rPr>
              <w:t>x_3: v_mouse</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Cursor Velocity (px/s)</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200 - 800 px/s</w:t>
            </w:r>
          </w:p>
        </w:tc>
        <w:tc>
          <w:tcPr>
            <w:tcW w:type="dxa" w:w="4032"/>
            <w:shd w:fill="FFFFFF"/>
            <w:tcMar>
              <w:top w:w="80" w:type="dxa"/>
              <w:bottom w:w="80" w:type="dxa"/>
              <w:left w:w="130" w:type="dxa"/>
              <w:right w:w="130" w:type="dxa"/>
            </w:tcMar>
          </w:tcPr>
          <w:p>
            <w:pPr>
              <w:spacing w:before="40" w:after="40"/>
            </w:pPr>
            <w:r>
              <w:rPr>
                <w:rFonts w:ascii="Calibri" w:hAnsi="Calibri"/>
                <w:color w:val="1E293B"/>
                <w:sz w:val="18"/>
              </w:rPr>
              <w:t>Gross motor ballistic hand displacement speed</w:t>
            </w:r>
          </w:p>
        </w:tc>
      </w:tr>
      <w:tr>
        <w:tc>
          <w:tcPr>
            <w:tcW w:type="dxa" w:w="1728"/>
            <w:shd w:fill="F8FAFC"/>
            <w:tcMar>
              <w:top w:w="80" w:type="dxa"/>
              <w:bottom w:w="80" w:type="dxa"/>
              <w:left w:w="130" w:type="dxa"/>
              <w:right w:w="130" w:type="dxa"/>
            </w:tcMar>
          </w:tcPr>
          <w:p>
            <w:pPr>
              <w:spacing w:before="40" w:after="40"/>
            </w:pPr>
            <w:r>
              <w:rPr>
                <w:rFonts w:ascii="Calibri" w:hAnsi="Calibri"/>
                <w:b/>
                <w:color w:val="1E293B"/>
                <w:sz w:val="18"/>
              </w:rPr>
              <w:t>x_4: a_mouse</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Cursor Accel (px/s²)</w:t>
            </w:r>
          </w:p>
        </w:tc>
        <w:tc>
          <w:tcPr>
            <w:tcW w:type="dxa" w:w="2016"/>
            <w:shd w:fill="F8FAFC"/>
            <w:tcMar>
              <w:top w:w="80" w:type="dxa"/>
              <w:bottom w:w="80" w:type="dxa"/>
              <w:left w:w="130" w:type="dxa"/>
              <w:right w:w="130" w:type="dxa"/>
            </w:tcMar>
          </w:tcPr>
          <w:p>
            <w:pPr>
              <w:spacing w:before="40" w:after="40"/>
            </w:pPr>
            <w:r>
              <w:rPr>
                <w:rFonts w:ascii="Calibri" w:hAnsi="Calibri"/>
                <w:color w:val="1E293B"/>
                <w:sz w:val="18"/>
              </w:rPr>
              <w:t>40 - 250 px/s²</w:t>
            </w:r>
          </w:p>
        </w:tc>
        <w:tc>
          <w:tcPr>
            <w:tcW w:type="dxa" w:w="4032"/>
            <w:shd w:fill="F8FAFC"/>
            <w:tcMar>
              <w:top w:w="80" w:type="dxa"/>
              <w:bottom w:w="80" w:type="dxa"/>
              <w:left w:w="130" w:type="dxa"/>
              <w:right w:w="130" w:type="dxa"/>
            </w:tcMar>
          </w:tcPr>
          <w:p>
            <w:pPr>
              <w:spacing w:before="40" w:after="40"/>
            </w:pPr>
            <w:r>
              <w:rPr>
                <w:rFonts w:ascii="Calibri" w:hAnsi="Calibri"/>
                <w:color w:val="1E293B"/>
                <w:sz w:val="18"/>
              </w:rPr>
              <w:t>Kinetic impulse force; distinguishes humans from linear bots</w:t>
            </w:r>
          </w:p>
        </w:tc>
      </w:tr>
      <w:tr>
        <w:tc>
          <w:tcPr>
            <w:tcW w:type="dxa" w:w="1728"/>
            <w:shd w:fill="FFFFFF"/>
            <w:tcMar>
              <w:top w:w="80" w:type="dxa"/>
              <w:bottom w:w="80" w:type="dxa"/>
              <w:left w:w="130" w:type="dxa"/>
              <w:right w:w="130" w:type="dxa"/>
            </w:tcMar>
          </w:tcPr>
          <w:p>
            <w:pPr>
              <w:spacing w:before="40" w:after="40"/>
            </w:pPr>
            <w:r>
              <w:rPr>
                <w:rFonts w:ascii="Calibri" w:hAnsi="Calibri"/>
                <w:b/>
                <w:color w:val="1E293B"/>
                <w:sz w:val="18"/>
              </w:rPr>
              <w:t>x_5: d_click</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Click Duration (ms)</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120 - 240 ms</w:t>
            </w:r>
          </w:p>
        </w:tc>
        <w:tc>
          <w:tcPr>
            <w:tcW w:type="dxa" w:w="4032"/>
            <w:shd w:fill="FFFFFF"/>
            <w:tcMar>
              <w:top w:w="80" w:type="dxa"/>
              <w:bottom w:w="80" w:type="dxa"/>
              <w:left w:w="130" w:type="dxa"/>
              <w:right w:w="130" w:type="dxa"/>
            </w:tcMar>
          </w:tcPr>
          <w:p>
            <w:pPr>
              <w:spacing w:before="40" w:after="40"/>
            </w:pPr>
            <w:r>
              <w:rPr>
                <w:rFonts w:ascii="Calibri" w:hAnsi="Calibri"/>
                <w:color w:val="1E293B"/>
                <w:sz w:val="18"/>
              </w:rPr>
              <w:t>Physical button dwell time and finger actuation pressure</w:t>
            </w:r>
          </w:p>
        </w:tc>
      </w:tr>
      <w:tr>
        <w:tc>
          <w:tcPr>
            <w:tcW w:type="dxa" w:w="1728"/>
            <w:shd w:fill="F8FAFC"/>
            <w:tcMar>
              <w:top w:w="80" w:type="dxa"/>
              <w:bottom w:w="80" w:type="dxa"/>
              <w:left w:w="130" w:type="dxa"/>
              <w:right w:w="130" w:type="dxa"/>
            </w:tcMar>
          </w:tcPr>
          <w:p>
            <w:pPr>
              <w:spacing w:before="40" w:after="40"/>
            </w:pPr>
            <w:r>
              <w:rPr>
                <w:rFonts w:ascii="Calibri" w:hAnsi="Calibri"/>
                <w:b/>
                <w:color w:val="1E293B"/>
                <w:sz w:val="18"/>
              </w:rPr>
              <w:t>x_6: v_scroll</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Scroll Velocity (px/s)</w:t>
            </w:r>
          </w:p>
        </w:tc>
        <w:tc>
          <w:tcPr>
            <w:tcW w:type="dxa" w:w="2016"/>
            <w:shd w:fill="F8FAFC"/>
            <w:tcMar>
              <w:top w:w="80" w:type="dxa"/>
              <w:bottom w:w="80" w:type="dxa"/>
              <w:left w:w="130" w:type="dxa"/>
              <w:right w:w="130" w:type="dxa"/>
            </w:tcMar>
          </w:tcPr>
          <w:p>
            <w:pPr>
              <w:spacing w:before="40" w:after="40"/>
            </w:pPr>
            <w:r>
              <w:rPr>
                <w:rFonts w:ascii="Calibri" w:hAnsi="Calibri"/>
                <w:color w:val="1E293B"/>
                <w:sz w:val="18"/>
              </w:rPr>
              <w:t>150 - 500 px/s</w:t>
            </w:r>
          </w:p>
        </w:tc>
        <w:tc>
          <w:tcPr>
            <w:tcW w:type="dxa" w:w="4032"/>
            <w:shd w:fill="F8FAFC"/>
            <w:tcMar>
              <w:top w:w="80" w:type="dxa"/>
              <w:bottom w:w="80" w:type="dxa"/>
              <w:left w:w="130" w:type="dxa"/>
              <w:right w:w="130" w:type="dxa"/>
            </w:tcMar>
          </w:tcPr>
          <w:p>
            <w:pPr>
              <w:spacing w:before="40" w:after="40"/>
            </w:pPr>
            <w:r>
              <w:rPr>
                <w:rFonts w:ascii="Calibri" w:hAnsi="Calibri"/>
                <w:color w:val="1E293B"/>
                <w:sz w:val="18"/>
              </w:rPr>
              <w:t>Page navigation cadence and information scanning rate</w:t>
            </w:r>
          </w:p>
        </w:tc>
      </w:tr>
      <w:tr>
        <w:tc>
          <w:tcPr>
            <w:tcW w:type="dxa" w:w="1728"/>
            <w:shd w:fill="FFFFFF"/>
            <w:tcMar>
              <w:top w:w="80" w:type="dxa"/>
              <w:bottom w:w="80" w:type="dxa"/>
              <w:left w:w="130" w:type="dxa"/>
              <w:right w:w="130" w:type="dxa"/>
            </w:tcMar>
          </w:tcPr>
          <w:p>
            <w:pPr>
              <w:spacing w:before="40" w:after="40"/>
            </w:pPr>
            <w:r>
              <w:rPr>
                <w:rFonts w:ascii="Calibri" w:hAnsi="Calibri"/>
                <w:b/>
                <w:color w:val="1E293B"/>
                <w:sz w:val="18"/>
              </w:rPr>
              <w:t>x_7: t_hour</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Session Hour (0 - 23)</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08 - 18 hrs</w:t>
            </w:r>
          </w:p>
        </w:tc>
        <w:tc>
          <w:tcPr>
            <w:tcW w:type="dxa" w:w="4032"/>
            <w:shd w:fill="FFFFFF"/>
            <w:tcMar>
              <w:top w:w="80" w:type="dxa"/>
              <w:bottom w:w="80" w:type="dxa"/>
              <w:left w:w="130" w:type="dxa"/>
              <w:right w:w="130" w:type="dxa"/>
            </w:tcMar>
          </w:tcPr>
          <w:p>
            <w:pPr>
              <w:spacing w:before="40" w:after="40"/>
            </w:pPr>
            <w:r>
              <w:rPr>
                <w:rFonts w:ascii="Calibri" w:hAnsi="Calibri"/>
                <w:color w:val="1E293B"/>
                <w:sz w:val="18"/>
              </w:rPr>
              <w:t>Circadian circadian working rhythm and temporal consistency</w:t>
            </w:r>
          </w:p>
        </w:tc>
      </w:tr>
    </w:tbl>
    <w:p>
      <w:pPr>
        <w:pStyle w:val="Heading2"/>
        <w:keepNext/>
        <w:spacing w:before="280" w:after="120"/>
      </w:pPr>
      <w:r>
        <w:rPr>
          <w:b/>
          <w:color w:val="0284C7"/>
          <w:sz w:val="25"/>
        </w:rPr>
        <w:t>4.2 Mathematical Algorithms in the Multi-Model Ensemble</w:t>
      </w:r>
    </w:p>
    <w:p>
      <w:pPr>
        <w:spacing w:after="120" w:line="276" w:lineRule="auto"/>
      </w:pPr>
      <w:r>
        <w:rPr>
          <w:color w:val="1E293B"/>
        </w:rPr>
        <w:t>Rather than relying on a single brittle classifier, Layer 1 executes an algorithmic ensemble combining three diverse models:</w:t>
      </w:r>
    </w:p>
    <w:p>
      <w:pPr>
        <w:pStyle w:val="Heading3"/>
        <w:keepNext/>
        <w:spacing w:before="200" w:after="80"/>
      </w:pPr>
      <w:r>
        <w:rPr>
          <w:b/>
          <w:color w:val="334155"/>
          <w:sz w:val="21"/>
        </w:rPr>
        <w:t>Algorithm 1: Normalized Euclidean &amp; Mahalanobis Centroid Distance</w:t>
      </w:r>
    </w:p>
    <w:p>
      <w:pPr>
        <w:spacing w:after="120" w:line="276" w:lineRule="auto"/>
      </w:pPr>
      <w:r>
        <w:rPr>
          <w:color w:val="1E293B"/>
        </w:rPr>
        <w:t>The system normalizes incoming live telemetry against the user's historical mean vector mu and variance vector sigma^2. The normalized distance d_kmeans is formulated as:</w:t>
      </w:r>
    </w:p>
    <w:tbl>
      <w:tblPr>
        <w:tblW w:type="auto" w:w="0"/>
        <w:jc w:val="center"/>
        <w:tblLook w:firstColumn="1" w:firstRow="1" w:lastColumn="0" w:lastRow="0" w:noHBand="0" w:noVBand="1" w:val="04A0"/>
      </w:tblPr>
      <w:tblGrid>
        <w:gridCol w:w="9792"/>
      </w:tblGrid>
      <w:tr>
        <w:tc>
          <w:tcPr>
            <w:tcW w:type="dxa" w:w="9792"/>
            <w:shd w:fill="F8FAFC"/>
            <w:tcMar>
              <w:top w:w="130" w:type="dxa"/>
              <w:bottom w:w="130" w:type="dxa"/>
              <w:left w:w="180" w:type="dxa"/>
              <w:right w:w="180" w:type="dxa"/>
            </w:tcMar>
            <w:tcBorders>
              <w:top w:val="none"/>
              <w:left w:val="single" w:sz="24" w:space="0" w:color="0284C7"/>
              <w:bottom w:val="none"/>
              <w:right w:val="none"/>
            </w:tcBorders>
          </w:tcPr>
          <w:p>
            <w:pPr>
              <w:spacing w:before="60" w:after="60"/>
            </w:pPr>
            <w:r>
              <w:rPr>
                <w:rFonts w:ascii="Calibri" w:hAnsi="Calibri"/>
                <w:b/>
                <w:color w:val="0F172A"/>
                <w:sz w:val="21"/>
              </w:rPr>
              <w:t>[K-MEANS NORMALIZED DISTANCE FORMULA]</w:t>
              <w:br/>
            </w:r>
            <w:r>
              <w:rPr>
                <w:rFonts w:ascii="Calibri" w:hAnsi="Calibri"/>
                <w:color w:val="334155"/>
                <w:sz w:val="19"/>
              </w:rPr>
              <w:t>d_kmeans = sqrt( sum_{i=1}^{7} ( (x_i - mu_i)^2 / sigma_i^2 ) )</w:t>
              <w:br/>
              <w:t>• Normal Baseline: d_kmeans &lt;= 2.0 (Telemetry clusters within nominal confidence ellipsoid)</w:t>
              <w:br/>
              <w:t>• Anomalous Breach: d_kmeans &gt; 2.0 (Statistically significant deviation from historical muscle memory)</w:t>
            </w:r>
          </w:p>
        </w:tc>
      </w:tr>
    </w:tbl>
    <w:p>
      <w:pPr>
        <w:spacing w:after="80"/>
      </w:pPr>
    </w:p>
    <w:p>
      <w:pPr>
        <w:pStyle w:val="Heading3"/>
        <w:keepNext/>
        <w:spacing w:before="200" w:after="80"/>
      </w:pPr>
      <w:r>
        <w:rPr>
          <w:b/>
          <w:color w:val="334155"/>
          <w:sz w:val="21"/>
        </w:rPr>
        <w:t>Algorithm 2: One-Class Support Vector Machine (OC-SVM) Hypersphere</w:t>
      </w:r>
    </w:p>
    <w:p>
      <w:pPr>
        <w:spacing w:after="120" w:line="276" w:lineRule="auto"/>
      </w:pPr>
      <w:r>
        <w:rPr>
          <w:color w:val="1E293B"/>
        </w:rPr>
        <w:t>One-Class SVM maps the feature vector into a high-dimensional Hilbert space via a Radial Basis Function (RBF) kernel: K(x, x') = exp(-gamma ||x - x'||^2). The algorithm constructs a maximum-margin hyperplane separating genuine baseline vectors from the origin. The margin distance d_svm measures how far the vector sits relative to the decision boundary: a margin &gt; 1.5 classifies the telemetry as an out-of-bounds anomaly.</w:t>
      </w:r>
    </w:p>
    <w:p>
      <w:pPr>
        <w:pStyle w:val="Heading3"/>
        <w:keepNext/>
        <w:spacing w:before="200" w:after="80"/>
      </w:pPr>
      <w:r>
        <w:rPr>
          <w:b/>
          <w:color w:val="334155"/>
          <w:sz w:val="21"/>
        </w:rPr>
        <w:t>Algorithm 3: Random Forest Anomaly Estimator</w:t>
      </w:r>
    </w:p>
    <w:p>
      <w:pPr>
        <w:spacing w:after="120" w:line="276" w:lineRule="auto"/>
      </w:pPr>
      <w:r>
        <w:rPr>
          <w:color w:val="1E293B"/>
        </w:rPr>
        <w:t>An ensemble of 50 decision trees trained on multi-variate anomaly patterns. The trees evaluate non-linear correlation anomalies—for example, a user typing at 120 WPM but clicking with 10ms click delays (typical of automated macro tools). The forest outputs an ensemble probability score rf_score in the range [0.0, 1.0].</w:t>
      </w:r>
    </w:p>
    <w:p>
      <w:pPr>
        <w:pStyle w:val="Heading3"/>
        <w:keepNext/>
        <w:spacing w:before="200" w:after="80"/>
      </w:pPr>
      <w:r>
        <w:rPr>
          <w:b/>
          <w:color w:val="334155"/>
          <w:sz w:val="21"/>
        </w:rPr>
        <w:t>Ensemble Synthesis &amp; Classification Tiers</w:t>
      </w:r>
    </w:p>
    <w:p>
      <w:pPr>
        <w:spacing w:after="120" w:line="276" w:lineRule="auto"/>
      </w:pPr>
      <w:r>
        <w:rPr>
          <w:color w:val="1E293B"/>
        </w:rPr>
        <w:t>The three outputs are synthesized into a unified Anomaly Score A_score: A_score = 0.35 * min(1.0, d_kmeans / 3.0) + 0.35 * min(1.0, d_svm / 2.5) + 0.30 * rf_score. The final classification is categorized into three actionable security tiers:</w:t>
      </w:r>
    </w:p>
    <w:p>
      <w:pPr>
        <w:pStyle w:val="ListBullet"/>
        <w:spacing w:after="80" w:line="276" w:lineRule="auto"/>
      </w:pPr>
      <w:r>
        <w:rPr>
          <w:b/>
          <w:color w:val="0F172A"/>
        </w:rPr>
        <w:t xml:space="preserve">GENUINE (A_score &lt; 0.40): </w:t>
      </w:r>
      <w:r>
        <w:rPr>
          <w:color w:val="334155"/>
        </w:rPr>
        <w:t>High identity confidence. Workstation access proceeds uninterrupted.</w:t>
      </w:r>
    </w:p>
    <w:p>
      <w:pPr>
        <w:pStyle w:val="ListBullet"/>
        <w:spacing w:after="80" w:line="276" w:lineRule="auto"/>
      </w:pPr>
      <w:r>
        <w:rPr>
          <w:b/>
          <w:color w:val="0F172A"/>
        </w:rPr>
        <w:t xml:space="preserve">SUSPICIOUS (0.40 &lt;= A_score &lt;= 0.65): </w:t>
      </w:r>
      <w:r>
        <w:rPr>
          <w:color w:val="334155"/>
        </w:rPr>
        <w:t>Mild behavioral drift. Triggers stepped-up monitoring and Trust Score reduction.</w:t>
      </w:r>
    </w:p>
    <w:p>
      <w:pPr>
        <w:pStyle w:val="ListBullet"/>
        <w:spacing w:after="80" w:line="276" w:lineRule="auto"/>
      </w:pPr>
      <w:r>
        <w:rPr>
          <w:b/>
          <w:color w:val="0F172A"/>
        </w:rPr>
        <w:t xml:space="preserve">ANOMALOUS (A_score &gt; 0.65): </w:t>
      </w:r>
      <w:r>
        <w:rPr>
          <w:color w:val="334155"/>
        </w:rPr>
        <w:t>Severe physical biometric mismatch. Flags potential imposter; triggers immediate challenge.</w:t>
      </w:r>
    </w:p>
    <w:p>
      <w:r>
        <w:br w:type="page"/>
      </w:r>
    </w:p>
    <w:p>
      <w:pPr>
        <w:pStyle w:val="Heading1"/>
        <w:keepNext/>
        <w:spacing w:before="400" w:after="160"/>
      </w:pPr>
      <w:r>
        <w:rPr>
          <w:b/>
          <w:color w:val="0A2540"/>
          <w:sz w:val="32"/>
        </w:rPr>
        <w:t>Chapter 5: Continuous Kinematic Telemetry, Sliding-Window WPM &amp; OS Mouse Speed</w:t>
      </w:r>
    </w:p>
    <w:p>
      <w:pPr>
        <w:spacing w:after="120" w:line="276" w:lineRule="auto"/>
      </w:pPr>
      <w:r>
        <w:rPr>
          <w:color w:val="1E293B"/>
        </w:rPr>
        <w:t>A common flaw in desktop security clients is inaccurate telemetry sampling. In this chapter, we detail the exact physical and algorithmic mechanisms implemented in NeuroShield to achieve responsive, real-time telemetry while guaranteeing that initial and at-rest indicators strictly read zero.</w:t>
      </w:r>
    </w:p>
    <w:p>
      <w:pPr>
        <w:pStyle w:val="Heading2"/>
        <w:keepNext/>
        <w:spacing w:before="280" w:after="120"/>
      </w:pPr>
      <w:r>
        <w:rPr>
          <w:b/>
          <w:color w:val="0284C7"/>
          <w:sz w:val="25"/>
        </w:rPr>
        <w:t>5.1 The 5-Second Sliding-Window Typing Algorithm</w:t>
      </w:r>
    </w:p>
    <w:p>
      <w:pPr>
        <w:spacing w:after="120" w:line="276" w:lineRule="auto"/>
      </w:pPr>
      <w:r>
        <w:rPr>
          <w:color w:val="1E293B"/>
        </w:rPr>
        <w:t>To calculate true instantaneous Words Per Minute (WPM) without suffering from idle session dilution, the client collector ('client/js/biometrics.js') implements a sliding-window data structure:</w:t>
      </w:r>
    </w:p>
    <w:p>
      <w:pPr>
        <w:pStyle w:val="ListBullet"/>
        <w:spacing w:after="80" w:line="276" w:lineRule="auto"/>
      </w:pPr>
      <w:r>
        <w:rPr>
          <w:b/>
          <w:color w:val="0F172A"/>
        </w:rPr>
        <w:t xml:space="preserve">Rolling Timestamp Buffer: </w:t>
      </w:r>
      <w:r>
        <w:rPr>
          <w:color w:val="334155"/>
        </w:rPr>
        <w:t>Every keydown event pushes a high-resolution performance.now() timestamp into recentKeyStrokes. On each evaluation tick (every 200ms), the engine prunes timestamps older than 5,000ms: recentKeyStrokes = recentKeyStrokes.filter(t =&gt; (now - t) &lt;= 5000).</w:t>
      </w:r>
    </w:p>
    <w:p>
      <w:pPr>
        <w:pStyle w:val="ListBullet"/>
        <w:spacing w:after="80" w:line="276" w:lineRule="auto"/>
      </w:pPr>
      <w:r>
        <w:rPr>
          <w:b/>
          <w:color w:val="0F172A"/>
        </w:rPr>
        <w:t xml:space="preserve">Active Typing Verification: </w:t>
      </w:r>
      <w:r>
        <w:rPr>
          <w:color w:val="334155"/>
        </w:rPr>
        <w:t>The engine validates whether the user is actively typing by checking the elapsed time since the last keydown: isCurrentlyTyping = (now - lastKeyDownTime) &lt;= 2200ms.</w:t>
      </w:r>
    </w:p>
    <w:p>
      <w:pPr>
        <w:pStyle w:val="ListBullet"/>
        <w:spacing w:after="80" w:line="276" w:lineRule="auto"/>
      </w:pPr>
      <w:r>
        <w:rPr>
          <w:b/>
          <w:color w:val="0F172A"/>
        </w:rPr>
        <w:t xml:space="preserve">Cadence Calculation: </w:t>
      </w:r>
      <w:r>
        <w:rPr>
          <w:color w:val="334155"/>
        </w:rPr>
        <w:t>If isCurrentlyTyping and at least 2 keystrokes exist in the window, WPM is calculated from the active span: WPM = round((recentKeyStrokes.length / 5) / (spanSeconds / 60)). If fewer strokes exist, it references recent Inter-Key Intervals: WPM = round(12000 / lastIki).</w:t>
      </w:r>
    </w:p>
    <w:p>
      <w:pPr>
        <w:pStyle w:val="ListBullet"/>
        <w:spacing w:after="80" w:line="276" w:lineRule="auto"/>
      </w:pPr>
      <w:r>
        <w:rPr>
          <w:b/>
          <w:color w:val="0F172A"/>
        </w:rPr>
        <w:t xml:space="preserve">At-Rest Zero Guarantee: </w:t>
      </w:r>
      <w:r>
        <w:rPr>
          <w:color w:val="334155"/>
        </w:rPr>
        <w:t>If the user stops typing for more than 2.2 seconds, isCurrentlyTyping evaluates to false. Instantaneous WPM immediately decays to strictly 0. At application launch, before any keys are pressed, the indicator is strictly initialized to 0 WPM.</w:t>
      </w:r>
    </w:p>
    <w:p>
      <w:pPr>
        <w:pStyle w:val="Heading2"/>
        <w:keepNext/>
        <w:spacing w:before="280" w:after="120"/>
      </w:pPr>
      <w:r>
        <w:rPr>
          <w:b/>
          <w:color w:val="0284C7"/>
          <w:sz w:val="25"/>
        </w:rPr>
        <w:t>5.2 System-Wide OS Mouse Pointer Velocity Tracking</w:t>
      </w:r>
    </w:p>
    <w:p>
      <w:pPr>
        <w:spacing w:after="120" w:line="276" w:lineRule="auto"/>
      </w:pPr>
      <w:r>
        <w:rPr>
          <w:color w:val="1E293B"/>
        </w:rPr>
        <w:t>Unlike web browsers that can only measure mouse movements within their own viewport, NeuroShield is a native desktop application responsible for auditing host-wide activity. It must measure cursor movement velocity across the entire physical desktop.</w:t>
      </w:r>
    </w:p>
    <w:tbl>
      <w:tblPr>
        <w:tblW w:type="auto" w:w="0"/>
        <w:jc w:val="center"/>
        <w:tblLook w:firstColumn="1" w:firstRow="1" w:lastColumn="0" w:lastRow="0" w:noHBand="0" w:noVBand="1" w:val="04A0"/>
      </w:tblPr>
      <w:tblGrid>
        <w:gridCol w:w="9792"/>
      </w:tblGrid>
      <w:tr>
        <w:tc>
          <w:tcPr>
            <w:tcW w:type="dxa" w:w="9792"/>
            <w:shd w:fill="F8FAFC"/>
            <w:tcMar>
              <w:top w:w="130" w:type="dxa"/>
              <w:bottom w:w="130" w:type="dxa"/>
              <w:left w:w="180" w:type="dxa"/>
              <w:right w:w="180" w:type="dxa"/>
            </w:tcMar>
            <w:tcBorders>
              <w:top w:val="none"/>
              <w:left w:val="single" w:sz="24" w:space="0" w:color="0284C7"/>
              <w:bottom w:val="none"/>
              <w:right w:val="none"/>
            </w:tcBorders>
          </w:tcPr>
          <w:p>
            <w:pPr>
              <w:spacing w:before="60" w:after="60"/>
            </w:pPr>
            <w:r>
              <w:rPr>
                <w:rFonts w:ascii="Calibri" w:hAnsi="Calibri"/>
                <w:b/>
                <w:color w:val="0F172A"/>
                <w:sz w:val="21"/>
              </w:rPr>
              <w:t>[OS-WIDE MOUSE VELOCITY PIPELINE]</w:t>
              <w:br/>
            </w:r>
            <w:r>
              <w:rPr>
                <w:rFonts w:ascii="Calibri" w:hAnsi="Calibri"/>
                <w:color w:val="334155"/>
                <w:sz w:val="19"/>
              </w:rPr>
              <w:t>1. In 'electron/main.js', startOsPointerTracking() executes on a 100ms interval loop using Electron's native 'screen.getCursorScreenPoint()'.</w:t>
              <w:br/>
              <w:t>2. It queries absolute multi-monitor screen coordinates: pt = { x, y }.</w:t>
              <w:br/>
              <w:t>3. Computes Cartesian displacement: dist = sqrt((pt.x - lastPt.x)^2 + (pt.y - lastPt.y)^2).</w:t>
              <w:br/>
              <w:t>4. Anti-Jitter Deadband: If dist &lt; 2 pixels (resting hand tremor or sensor noise) or elapsed dt &gt; 0.6s, speed evaluates strictly to 0 px/s.</w:t>
              <w:br/>
              <w:t>5. Active Motion: If dist &gt;= 2 pixels, speed = round(dist / dt). Updates rolling speed history.</w:t>
              <w:br/>
              <w:t>6. IPC Transmission: Exposes 'neuroshield:get-os-pointer-speed' via preload bridge, streaming live pixels/second to the header and HUD.</w:t>
              <w:br/>
              <w:t>7. Privacy Guarantee: Zero coordinates, clicks, window titles, or keystroke characters outside the app are logged or stored.</w:t>
            </w:r>
          </w:p>
        </w:tc>
      </w:tr>
    </w:tbl>
    <w:p>
      <w:pPr>
        <w:spacing w:after="80"/>
      </w:pPr>
    </w:p>
    <w:p>
      <w:pPr>
        <w:pStyle w:val="Heading2"/>
        <w:keepNext/>
        <w:spacing w:before="280" w:after="120"/>
      </w:pPr>
      <w:r>
        <w:rPr>
          <w:b/>
          <w:color w:val="0284C7"/>
          <w:sz w:val="25"/>
        </w:rPr>
        <w:t>5.3 Cross-Frame Event Bubbling &amp; Subpage Iframe Architecture</w:t>
      </w:r>
    </w:p>
    <w:p>
      <w:pPr>
        <w:spacing w:after="120" w:line="276" w:lineRule="auto"/>
      </w:pPr>
      <w:r>
        <w:rPr>
          <w:color w:val="1E293B"/>
        </w:rPr>
        <w:t>In 'client/dashboard.html', modular subpages (such as 'pages/behavior.html' and 'pages/endpoint-audit.html') are loaded inside an &lt;iframe&gt;. Under standard DOM rules, keyboard and mouse events dispatched inside an iframe do not automatically bubble up to the parent window, which would prevent the top header ticker from tracking subpage keystrokes. NeuroShield resolves this through bidirectional event attachment:</w:t>
      </w:r>
    </w:p>
    <w:p>
      <w:pPr>
        <w:spacing w:after="120" w:line="276" w:lineRule="auto"/>
      </w:pPr>
      <w:r>
        <w:rPr>
          <w:color w:val="1E293B"/>
        </w:rPr>
        <w:t>When the dashboard loads or navigates, attachToSubframe() attaches the singleton biometricsCollector listeners directly to frame.contentWindow and frame.contentDocument. Concurrently, child scripts inspect window.parent: if window.parent.biometricsCollector exists, the child reuses the parent's collector instance. Any keystroke typed in any input box or verification sandbox streams simultaneously to both the local page HUD and the global top-header badge.</w:t>
      </w:r>
    </w:p>
    <w:p>
      <w:pPr>
        <w:pStyle w:val="Heading2"/>
        <w:keepNext/>
        <w:spacing w:before="280" w:after="120"/>
      </w:pPr>
      <w:r>
        <w:rPr>
          <w:b/>
          <w:color w:val="0284C7"/>
          <w:sz w:val="25"/>
        </w:rPr>
        <w:t>5.4 Database-Locked Ground-Truth Baseline &amp; Unified Cross-Layer Defense Propagation</w:t>
      </w:r>
    </w:p>
    <w:p>
      <w:pPr>
        <w:spacing w:after="120" w:line="276" w:lineRule="auto"/>
      </w:pPr>
      <w:r>
        <w:rPr>
          <w:color w:val="1E293B"/>
        </w:rPr>
        <w:t>To establish a tamper-resistant identity foundation, NeuroShield implements a strict Database Baseline Locking mechanism ('server/routes/behavior.js' &amp; 'server/models/BehaviorProfile.js'):</w:t>
      </w:r>
    </w:p>
    <w:p>
      <w:pPr>
        <w:pStyle w:val="ListBullet"/>
        <w:spacing w:after="80" w:line="276" w:lineRule="auto"/>
      </w:pPr>
      <w:r>
        <w:rPr>
          <w:b/>
          <w:color w:val="0F172A"/>
        </w:rPr>
        <w:t xml:space="preserve">Initial Telemetry Ingestion &amp; Lock: </w:t>
      </w:r>
      <w:r>
        <w:rPr>
          <w:color w:val="334155"/>
        </w:rPr>
        <w:t>When an operator submits telemetry for the first time, the platform captures all 7 biometric dimensions (typing speed, typing interval, mouse velocity, acceleration, click delay, scroll velocity, and session hour) and permanently locks them in MongoDB (isLocked: true, lockedAt: new Date()). The ground-truth baseline cannot be modified without authorized calibration.</w:t>
      </w:r>
    </w:p>
    <w:p>
      <w:pPr>
        <w:pStyle w:val="ListBullet"/>
        <w:spacing w:after="80" w:line="276" w:lineRule="auto"/>
      </w:pPr>
      <w:r>
        <w:rPr>
          <w:b/>
          <w:color w:val="0F172A"/>
        </w:rPr>
        <w:t xml:space="preserve">Dynamic Re-Lock on Calibration: </w:t>
      </w:r>
      <w:r>
        <w:rPr>
          <w:color w:val="334155"/>
        </w:rPr>
        <w:t>If typing speed or pointer movement changes through the interactive calibration suite or manual simulator, the baseline features are updated and re-locked in the database, updating model confidence.</w:t>
      </w:r>
    </w:p>
    <w:p>
      <w:pPr>
        <w:pStyle w:val="ListBullet"/>
        <w:spacing w:after="80" w:line="276" w:lineRule="auto"/>
      </w:pPr>
      <w:r>
        <w:rPr>
          <w:b/>
          <w:color w:val="0F172A"/>
        </w:rPr>
        <w:t xml:space="preserve">Cross-Layer Defense Propagation: </w:t>
      </w:r>
      <w:r>
        <w:rPr>
          <w:color w:val="334155"/>
        </w:rPr>
        <w:t>The locked baseline's cached latestBehaviorScore and latestAnomalyScore are continuously ingested across all defensive engines: Adaptive Trust (fuzzy logic biometrics weight 40%), Human Threat/Risk (Bayesian posterior and decision trees), and Threat Prediction (Markov chain state transitions).</w:t>
      </w:r>
    </w:p>
    <w:p>
      <w:r>
        <w:br w:type="page"/>
      </w:r>
    </w:p>
    <w:p>
      <w:pPr>
        <w:pStyle w:val="Heading1"/>
        <w:keepNext/>
        <w:spacing w:before="400" w:after="160"/>
      </w:pPr>
      <w:r>
        <w:rPr>
          <w:b/>
          <w:color w:val="0A2540"/>
          <w:sz w:val="32"/>
        </w:rPr>
        <w:t>Chapter 6: Layer 2 - Continuous Adaptive Zero-Trust Access Controller</w:t>
      </w:r>
    </w:p>
    <w:p>
      <w:pPr>
        <w:spacing w:after="120" w:line="276" w:lineRule="auto"/>
      </w:pPr>
      <w:r>
        <w:rPr>
          <w:color w:val="1E293B"/>
        </w:rPr>
        <w:t>Traditional access control models operate as binary gates: a user is either fully authorized or completely blocked. Layer 2 ('server/engines/trust.js') replaces this static model with continuous, multi-factor trust evaluation.</w:t>
      </w:r>
    </w:p>
    <w:p>
      <w:pPr>
        <w:pStyle w:val="Heading2"/>
        <w:keepNext/>
        <w:spacing w:before="280" w:after="120"/>
      </w:pPr>
      <w:r>
        <w:rPr>
          <w:b/>
          <w:color w:val="0284C7"/>
          <w:sz w:val="25"/>
        </w:rPr>
        <w:t>6.1 Dynamic Trust Score Formulation &amp; Penalties</w:t>
      </w:r>
    </w:p>
    <w:p>
      <w:pPr>
        <w:spacing w:after="120" w:line="276" w:lineRule="auto"/>
      </w:pPr>
      <w:r>
        <w:rPr>
          <w:color w:val="1E293B"/>
        </w:rPr>
        <w:t>The Trust Score T(t) dynamically ranges from 0 to 100. It is evaluated by the continuous state equation:</w:t>
      </w:r>
    </w:p>
    <w:tbl>
      <w:tblPr>
        <w:tblW w:type="auto" w:w="0"/>
        <w:jc w:val="center"/>
        <w:tblLook w:firstColumn="1" w:firstRow="1" w:lastColumn="0" w:lastRow="0" w:noHBand="0" w:noVBand="1" w:val="04A0"/>
      </w:tblPr>
      <w:tblGrid>
        <w:gridCol w:w="9792"/>
      </w:tblGrid>
      <w:tr>
        <w:tc>
          <w:tcPr>
            <w:tcW w:type="dxa" w:w="9792"/>
            <w:shd w:fill="FDF4FF"/>
            <w:tcMar>
              <w:top w:w="130" w:type="dxa"/>
              <w:bottom w:w="130" w:type="dxa"/>
              <w:left w:w="180" w:type="dxa"/>
              <w:right w:w="180" w:type="dxa"/>
            </w:tcMar>
            <w:tcBorders>
              <w:top w:val="none"/>
              <w:left w:val="single" w:sz="24" w:space="0" w:color="A855F7"/>
              <w:bottom w:val="none"/>
              <w:right w:val="none"/>
            </w:tcBorders>
          </w:tcPr>
          <w:p>
            <w:pPr>
              <w:spacing w:before="60" w:after="60"/>
            </w:pPr>
            <w:r>
              <w:rPr>
                <w:rFonts w:ascii="Calibri" w:hAnsi="Calibri"/>
                <w:b/>
                <w:color w:val="0F172A"/>
                <w:sz w:val="21"/>
              </w:rPr>
              <w:t>[MATHEMATICAL TRUST EVALUATION EQUATION]</w:t>
              <w:br/>
            </w:r>
            <w:r>
              <w:rPr>
                <w:rFonts w:ascii="Calibri" w:hAnsi="Calibri"/>
                <w:color w:val="334155"/>
                <w:sz w:val="19"/>
              </w:rPr>
              <w:t>T(t) = clamp(0, 100,  T_base - P_biometrics - sum(P_incidents) - P_temporal )</w:t>
              <w:br/>
              <w:br/>
              <w:t>Parameters:</w:t>
              <w:br/>
              <w:t>• T_base = Prior trust baseline (nominal default: 100)</w:t>
              <w:br/>
              <w:t>• P_biometrics = Live behavioral anomaly penalty: (AnomalyScore * 40)</w:t>
              <w:br/>
              <w:t>• P_incidents = Active unresolved security incident penalties (CRITICAL: 50, HIGH: 30, MEDIUM: 15, LOW: 5)</w:t>
              <w:br/>
              <w:t>• P_temporal = Temporal session decay: 0.5 points per elapsed hour since token issuance</w:t>
              <w:br/>
              <w:t>• Recovery: If telemetry remains genuine for 10 consecutive evaluation cycles, score recovers by +5 points per cycle.</w:t>
            </w:r>
          </w:p>
        </w:tc>
      </w:tr>
    </w:tbl>
    <w:p>
      <w:pPr>
        <w:spacing w:after="80"/>
      </w:pPr>
    </w:p>
    <w:p>
      <w:pPr>
        <w:pStyle w:val="Heading2"/>
        <w:keepNext/>
        <w:spacing w:before="280" w:after="120"/>
      </w:pPr>
      <w:r>
        <w:rPr>
          <w:b/>
          <w:color w:val="0284C7"/>
          <w:sz w:val="25"/>
        </w:rPr>
        <w:t>6.2 Policy Enforcement &amp; The Emergency Lockdown State Machine</w:t>
      </w:r>
    </w:p>
    <w:p>
      <w:pPr>
        <w:spacing w:after="120" w:line="276" w:lineRule="auto"/>
      </w:pPr>
      <w:r>
        <w:rPr>
          <w:color w:val="1E293B"/>
        </w:rPr>
        <w:t>The system evaluates the Trust Score against enterprise enforcement policy boundaries:</w:t>
      </w:r>
    </w:p>
    <w:p>
      <w:pPr>
        <w:pStyle w:val="ListBullet"/>
        <w:spacing w:after="80" w:line="276" w:lineRule="auto"/>
      </w:pPr>
      <w:r>
        <w:rPr>
          <w:b/>
          <w:color w:val="0F172A"/>
        </w:rPr>
        <w:t xml:space="preserve">Tier 1 - High Trust (Score 80 - 100): </w:t>
      </w:r>
      <w:r>
        <w:rPr>
          <w:color w:val="334155"/>
        </w:rPr>
        <w:t>Full authorized access granted across all assigned RBAC permissions. Background telemetry runs silently.</w:t>
      </w:r>
    </w:p>
    <w:p>
      <w:pPr>
        <w:pStyle w:val="ListBullet"/>
        <w:spacing w:after="80" w:line="276" w:lineRule="auto"/>
      </w:pPr>
      <w:r>
        <w:rPr>
          <w:b/>
          <w:color w:val="0F172A"/>
        </w:rPr>
        <w:t xml:space="preserve">Tier 2 - Elevated Risk (Score 50 - 79): </w:t>
      </w:r>
      <w:r>
        <w:rPr>
          <w:color w:val="334155"/>
        </w:rPr>
        <w:t>Step-Up Authentication required. Sensitive administrative operations (modifying access policies, altering user roles, exporting compliance reports) require immediate password or MFA re-verification before execution.</w:t>
      </w:r>
    </w:p>
    <w:p>
      <w:pPr>
        <w:pStyle w:val="ListBullet"/>
        <w:spacing w:after="80" w:line="276" w:lineRule="auto"/>
      </w:pPr>
      <w:r>
        <w:rPr>
          <w:b/>
          <w:color w:val="0F172A"/>
        </w:rPr>
        <w:t xml:space="preserve">Tier 3 - Critical Risk (Score 0 - 49): </w:t>
      </w:r>
      <w:r>
        <w:rPr>
          <w:color w:val="334155"/>
        </w:rPr>
        <w:t>Zero-Trust Workstation Lockdown engaged. The session token is immediately invalidated. The UI renders the full-screen frosted lockdown overlay ('#lockdown-overlay') with 24px backdrop blur, blocking all UI interactions until an authorized administrative password unlock is performed.</w:t>
      </w:r>
    </w:p>
    <w:p>
      <w:pPr>
        <w:pStyle w:val="ListBullet"/>
        <w:spacing w:after="80" w:line="276" w:lineRule="auto"/>
      </w:pPr>
      <w:r>
        <w:rPr>
          <w:b/>
          <w:color w:val="0F172A"/>
        </w:rPr>
        <w:t xml:space="preserve">Manual Emergency Hotkey Trigger (Ctrl+Shift+L): </w:t>
      </w:r>
      <w:r>
        <w:rPr>
          <w:color w:val="334155"/>
        </w:rPr>
        <w:t>Operators facing physical coercion or witnessing live host tampering can trigger instantaneous workstation lockdown at any time by pressing Ctrl+Shift+L. The global shortcut registers at the OS level via Electron main process.</w:t>
      </w:r>
    </w:p>
    <w:p>
      <w:r>
        <w:br w:type="page"/>
      </w:r>
    </w:p>
    <w:p>
      <w:pPr>
        <w:pStyle w:val="Heading1"/>
        <w:keepNext/>
        <w:spacing w:before="400" w:after="160"/>
      </w:pPr>
      <w:r>
        <w:rPr>
          <w:b/>
          <w:color w:val="0A2540"/>
          <w:sz w:val="32"/>
        </w:rPr>
        <w:t>Chapter 7: Layer 3 - Predictive Human Risk Engine &amp; Statistical Tri-Model</w:t>
      </w:r>
    </w:p>
    <w:p>
      <w:pPr>
        <w:spacing w:after="120" w:line="276" w:lineRule="auto"/>
      </w:pPr>
      <w:r>
        <w:rPr>
          <w:color w:val="1E293B"/>
        </w:rPr>
        <w:t>Insider threats and compromised workforce accounts represent the most catastrophic attack vectors because the adversary is operating with legitimate internal credentials. Layer 3 ('server/engines/humanRisk.js') predicts insider risk before exfiltration or sabotage occurs by unifying three independent mathematical models.</w:t>
      </w:r>
    </w:p>
    <w:p>
      <w:pPr>
        <w:pStyle w:val="Heading2"/>
        <w:keepNext/>
        <w:spacing w:before="280" w:after="120"/>
      </w:pPr>
      <w:r>
        <w:rPr>
          <w:b/>
          <w:color w:val="0284C7"/>
          <w:sz w:val="25"/>
        </w:rPr>
        <w:t>7.1 Statistical Tri-Model Methodology</w:t>
      </w:r>
    </w:p>
    <w:p>
      <w:pPr>
        <w:spacing w:after="120" w:line="276" w:lineRule="auto"/>
      </w:pPr>
      <w:r>
        <w:rPr>
          <w:b/>
          <w:color w:val="0F172A"/>
        </w:rPr>
        <w:t xml:space="preserve">[MODEL 1] </w:t>
      </w:r>
      <w:r>
        <w:rPr>
          <w:color w:val="1E293B"/>
        </w:rPr>
        <w:t>Model 1: Heuristic Decision Tree Categorization</w:t>
      </w:r>
    </w:p>
    <w:p>
      <w:pPr>
        <w:spacing w:after="120" w:line="276" w:lineRule="auto"/>
      </w:pPr>
      <w:r>
        <w:rPr>
          <w:color w:val="1E293B"/>
        </w:rPr>
        <w:t>Evaluates discrete operational parameters through an empirical decision tree: account clearance tier (Admin, Analyst, Employee), prior policy violations, consecutive failed authentications, and external IP access. Categorizes the subject into discrete risk scores (Low: 10-25, Moderate: 35-60, High: 75-95).</w:t>
      </w:r>
    </w:p>
    <w:p>
      <w:pPr>
        <w:spacing w:after="120" w:line="276" w:lineRule="auto"/>
      </w:pPr>
      <w:r>
        <w:rPr>
          <w:b/>
          <w:color w:val="0F172A"/>
        </w:rPr>
        <w:t xml:space="preserve">[MODEL 2] </w:t>
      </w:r>
      <w:r>
        <w:rPr>
          <w:color w:val="1E293B"/>
        </w:rPr>
        <w:t>Model 2: Logistic Regression Log-Odds Probability</w:t>
      </w:r>
    </w:p>
    <w:p>
      <w:pPr>
        <w:spacing w:after="120" w:line="276" w:lineRule="auto"/>
      </w:pPr>
      <w:r>
        <w:rPr>
          <w:color w:val="1E293B"/>
        </w:rPr>
        <w:t>Models continuous breach probability via the logistic sigmoid function: P_lr = 1 / (1 + e^-z). The logit z is computed from weighted feature variances: z = beta_0 + beta_1 * (WPM_variance) + beta_2 * (MouseAccel_variance) + beta_3 * (OffHours_indicator) + beta_4 * (Privilege_weight). Produces a smooth probability curve reflecting subtle behavioral deviations.</w:t>
      </w:r>
    </w:p>
    <w:p>
      <w:pPr>
        <w:spacing w:after="120" w:line="276" w:lineRule="auto"/>
      </w:pPr>
      <w:r>
        <w:rPr>
          <w:b/>
          <w:color w:val="0F172A"/>
        </w:rPr>
        <w:t xml:space="preserve">[MODEL 3] </w:t>
      </w:r>
      <w:r>
        <w:rPr>
          <w:color w:val="1E293B"/>
        </w:rPr>
        <w:t>Model 3: Bayesian Posterior Inference P(Risk | Evidence)</w:t>
      </w:r>
    </w:p>
    <w:p>
      <w:pPr>
        <w:spacing w:after="120" w:line="276" w:lineRule="auto"/>
      </w:pPr>
      <w:r>
        <w:rPr>
          <w:color w:val="1E293B"/>
        </w:rPr>
        <w:t>Applies Bayes' Theorem to update risk probabilities upon receiving new telemetry evidence:</w:t>
      </w:r>
    </w:p>
    <w:tbl>
      <w:tblPr>
        <w:tblW w:type="auto" w:w="0"/>
        <w:jc w:val="center"/>
        <w:tblLook w:firstColumn="1" w:firstRow="1" w:lastColumn="0" w:lastRow="0" w:noHBand="0" w:noVBand="1" w:val="04A0"/>
      </w:tblPr>
      <w:tblGrid>
        <w:gridCol w:w="9792"/>
      </w:tblGrid>
      <w:tr>
        <w:tc>
          <w:tcPr>
            <w:tcW w:type="dxa" w:w="9792"/>
            <w:shd w:fill="F8FAFC"/>
            <w:tcMar>
              <w:top w:w="130" w:type="dxa"/>
              <w:bottom w:w="130" w:type="dxa"/>
              <w:left w:w="180" w:type="dxa"/>
              <w:right w:w="180" w:type="dxa"/>
            </w:tcMar>
            <w:tcBorders>
              <w:top w:val="none"/>
              <w:left w:val="single" w:sz="24" w:space="0" w:color="0284C7"/>
              <w:bottom w:val="none"/>
              <w:right w:val="none"/>
            </w:tcBorders>
          </w:tcPr>
          <w:p>
            <w:pPr>
              <w:spacing w:before="60" w:after="60"/>
            </w:pPr>
            <w:r>
              <w:rPr>
                <w:rFonts w:ascii="Calibri" w:hAnsi="Calibri"/>
                <w:b/>
                <w:color w:val="0F172A"/>
                <w:sz w:val="21"/>
              </w:rPr>
              <w:t>[BAYESIAN RISK UPDATE FORMULA]</w:t>
              <w:br/>
            </w:r>
            <w:r>
              <w:rPr>
                <w:rFonts w:ascii="Calibri" w:hAnsi="Calibri"/>
                <w:color w:val="334155"/>
                <w:sz w:val="19"/>
              </w:rPr>
              <w:t>P(Compromised | Telemetry) = [ P(Telemetry | Compromised) * P(Compromised) ] / P(Telemetry)</w:t>
              <w:br/>
              <w:br/>
              <w:t>Where:</w:t>
              <w:br/>
              <w:t>• P(Compromised) = Prior base risk probability (nominal historical rate: 5%)</w:t>
              <w:br/>
              <w:t>• P(Telemetry | Compromised) = Likelihood of observing current anomaly vector under active compromise (estimated at 85%)</w:t>
              <w:br/>
              <w:t>• P(Telemetry) = Total probability of telemetry across both genuine and compromised populations</w:t>
              <w:br/>
              <w:t>Allows the system to update risk dynamically as new observations stream in.</w:t>
            </w:r>
          </w:p>
        </w:tc>
      </w:tr>
    </w:tbl>
    <w:p>
      <w:pPr>
        <w:spacing w:after="80"/>
      </w:pPr>
    </w:p>
    <w:p>
      <w:pPr>
        <w:pStyle w:val="Heading2"/>
        <w:keepNext/>
        <w:spacing w:before="280" w:after="120"/>
      </w:pPr>
      <w:r>
        <w:rPr>
          <w:b/>
          <w:color w:val="0284C7"/>
          <w:sz w:val="25"/>
        </w:rPr>
        <w:t>7.2 Prescriptive Interventions &amp; Factor Breakdown</w:t>
      </w:r>
    </w:p>
    <w:p>
      <w:pPr>
        <w:spacing w:after="120" w:line="276" w:lineRule="auto"/>
      </w:pPr>
      <w:r>
        <w:rPr>
          <w:color w:val="1E293B"/>
        </w:rPr>
        <w:t>In 'client/pages/human-risk.html', the Human Risk dashboard displays transparent factor attribution: 'Typing Jitter Anomaly (+25)', 'Off-Hours Session (+20)', 'High Privilege Target (+15)'. The engine pairs these with automated prescriptive interventions, such as restricting access to financial vaults or scheduling mandatory security re-authentication.</w:t>
      </w:r>
    </w:p>
    <w:p>
      <w:r>
        <w:br w:type="page"/>
      </w:r>
    </w:p>
    <w:p>
      <w:pPr>
        <w:pStyle w:val="Heading1"/>
        <w:keepNext/>
        <w:spacing w:before="400" w:after="160"/>
      </w:pPr>
      <w:r>
        <w:rPr>
          <w:b/>
          <w:color w:val="0A2540"/>
          <w:sz w:val="32"/>
        </w:rPr>
        <w:t>Chapter 8: Layer 4 - Predictive Threat Modeling, Markov Chains &amp; Attack Graph</w:t>
      </w:r>
    </w:p>
    <w:p>
      <w:pPr>
        <w:spacing w:after="120" w:line="276" w:lineRule="auto"/>
      </w:pPr>
      <w:r>
        <w:rPr>
          <w:color w:val="1E293B"/>
        </w:rPr>
        <w:t>Advanced adversaries execute multi-stage killchains, beginning with initial perimeter access, dumping local LSASS credentials, moving laterally across application servers, and ultimately compromising domain controllers and critical data vaults. Layer 4 ('server/engines/threat.js') models and visualizes this threat progression.</w:t>
      </w:r>
    </w:p>
    <w:p>
      <w:pPr>
        <w:pStyle w:val="Heading2"/>
        <w:keepNext/>
        <w:spacing w:before="280" w:after="120"/>
      </w:pPr>
      <w:r>
        <w:rPr>
          <w:b/>
          <w:color w:val="0284C7"/>
          <w:sz w:val="25"/>
        </w:rPr>
        <w:t>8.1 Topological MITRE ATT&amp;CK Graph Architecture</w:t>
      </w:r>
    </w:p>
    <w:p>
      <w:pPr>
        <w:spacing w:after="120" w:line="276" w:lineRule="auto"/>
      </w:pPr>
      <w:r>
        <w:rPr>
          <w:color w:val="1E293B"/>
        </w:rPr>
        <w:t>The attack graph G = (V, E) is initialized with 7 structural nodes and 6 directed exploit edges representing realistic enterprise topology:</w:t>
      </w:r>
    </w:p>
    <w:tbl>
      <w:tblPr>
        <w:tblW w:type="auto" w:w="0"/>
        <w:jc w:val="center"/>
        <w:tblLook w:firstColumn="1" w:firstRow="1" w:lastColumn="0" w:lastRow="0" w:noHBand="0" w:noVBand="1" w:val="04A0"/>
      </w:tblPr>
      <w:tblGrid>
        <w:gridCol w:w="2448"/>
        <w:gridCol w:w="2448"/>
        <w:gridCol w:w="2448"/>
        <w:gridCol w:w="2448"/>
      </w:tblGrid>
      <w:tr>
        <w:tc>
          <w:tcPr>
            <w:tcW w:type="dxa" w:w="1728"/>
            <w:shd w:fill="0F172A"/>
            <w:tcMar>
              <w:top w:w="130" w:type="dxa"/>
              <w:bottom w:w="130" w:type="dxa"/>
              <w:left w:w="130" w:type="dxa"/>
              <w:right w:w="130" w:type="dxa"/>
            </w:tcMar>
          </w:tcPr>
          <w:p>
            <w:pPr>
              <w:spacing w:before="40" w:after="40"/>
              <w:jc w:val="left"/>
            </w:pPr>
            <w:r>
              <w:rPr>
                <w:rFonts w:ascii="Calibri" w:hAnsi="Calibri"/>
                <w:b/>
                <w:color w:val="FFFFFF"/>
                <w:sz w:val="19"/>
              </w:rPr>
              <w:t>Edge ID</w:t>
            </w:r>
          </w:p>
        </w:tc>
        <w:tc>
          <w:tcPr>
            <w:tcW w:type="dxa" w:w="2592"/>
            <w:shd w:fill="0F172A"/>
            <w:tcMar>
              <w:top w:w="130" w:type="dxa"/>
              <w:bottom w:w="130" w:type="dxa"/>
              <w:left w:w="130" w:type="dxa"/>
              <w:right w:w="130" w:type="dxa"/>
            </w:tcMar>
          </w:tcPr>
          <w:p>
            <w:pPr>
              <w:spacing w:before="40" w:after="40"/>
              <w:jc w:val="left"/>
            </w:pPr>
            <w:r>
              <w:rPr>
                <w:rFonts w:ascii="Calibri" w:hAnsi="Calibri"/>
                <w:b/>
                <w:color w:val="FFFFFF"/>
                <w:sz w:val="19"/>
              </w:rPr>
              <w:t>Source -&gt; Target Node</w:t>
            </w:r>
          </w:p>
        </w:tc>
        <w:tc>
          <w:tcPr>
            <w:tcW w:type="dxa" w:w="2592"/>
            <w:shd w:fill="0F172A"/>
            <w:tcMar>
              <w:top w:w="130" w:type="dxa"/>
              <w:bottom w:w="130" w:type="dxa"/>
              <w:left w:w="130" w:type="dxa"/>
              <w:right w:w="130" w:type="dxa"/>
            </w:tcMar>
          </w:tcPr>
          <w:p>
            <w:pPr>
              <w:spacing w:before="40" w:after="40"/>
              <w:jc w:val="left"/>
            </w:pPr>
            <w:r>
              <w:rPr>
                <w:rFonts w:ascii="Calibri" w:hAnsi="Calibri"/>
                <w:b/>
                <w:color w:val="FFFFFF"/>
                <w:sz w:val="19"/>
              </w:rPr>
              <w:t>MITRE ATT&amp;CK Tactic</w:t>
            </w:r>
          </w:p>
        </w:tc>
        <w:tc>
          <w:tcPr>
            <w:tcW w:type="dxa" w:w="3168"/>
            <w:shd w:fill="0F172A"/>
            <w:tcMar>
              <w:top w:w="130" w:type="dxa"/>
              <w:bottom w:w="130" w:type="dxa"/>
              <w:left w:w="130" w:type="dxa"/>
              <w:right w:w="130" w:type="dxa"/>
            </w:tcMar>
          </w:tcPr>
          <w:p>
            <w:pPr>
              <w:spacing w:before="40" w:after="40"/>
              <w:jc w:val="left"/>
            </w:pPr>
            <w:r>
              <w:rPr>
                <w:rFonts w:ascii="Calibri" w:hAnsi="Calibri"/>
                <w:b/>
                <w:color w:val="FFFFFF"/>
                <w:sz w:val="19"/>
              </w:rPr>
              <w:t>Base Exploit Probability</w:t>
            </w:r>
          </w:p>
        </w:tc>
      </w:tr>
      <w:tr>
        <w:tc>
          <w:tcPr>
            <w:tcW w:type="dxa" w:w="1728"/>
            <w:shd w:fill="FFFFFF"/>
            <w:tcMar>
              <w:top w:w="80" w:type="dxa"/>
              <w:bottom w:w="80" w:type="dxa"/>
              <w:left w:w="130" w:type="dxa"/>
              <w:right w:w="130" w:type="dxa"/>
            </w:tcMar>
          </w:tcPr>
          <w:p>
            <w:pPr>
              <w:spacing w:before="40" w:after="40"/>
            </w:pPr>
            <w:r>
              <w:rPr>
                <w:rFonts w:ascii="Calibri" w:hAnsi="Calibri"/>
                <w:b/>
                <w:color w:val="1E293B"/>
                <w:sz w:val="18"/>
              </w:rPr>
              <w:t>E1</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N-USER -&gt; N-INIT</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Phishing &amp; Spearphishing [T1566]</w:t>
            </w:r>
          </w:p>
        </w:tc>
        <w:tc>
          <w:tcPr>
            <w:tcW w:type="dxa" w:w="3168"/>
            <w:shd w:fill="FFFFFF"/>
            <w:tcMar>
              <w:top w:w="80" w:type="dxa"/>
              <w:bottom w:w="80" w:type="dxa"/>
              <w:left w:w="130" w:type="dxa"/>
              <w:right w:w="130" w:type="dxa"/>
            </w:tcMar>
          </w:tcPr>
          <w:p>
            <w:pPr>
              <w:spacing w:before="40" w:after="40"/>
            </w:pPr>
            <w:r>
              <w:rPr>
                <w:rFonts w:ascii="Calibri" w:hAnsi="Calibri"/>
                <w:color w:val="1E293B"/>
                <w:sz w:val="18"/>
              </w:rPr>
              <w:t>P = 0.85 (High ingress vector)</w:t>
            </w:r>
          </w:p>
        </w:tc>
      </w:tr>
      <w:tr>
        <w:tc>
          <w:tcPr>
            <w:tcW w:type="dxa" w:w="1728"/>
            <w:shd w:fill="F8FAFC"/>
            <w:tcMar>
              <w:top w:w="80" w:type="dxa"/>
              <w:bottom w:w="80" w:type="dxa"/>
              <w:left w:w="130" w:type="dxa"/>
              <w:right w:w="130" w:type="dxa"/>
            </w:tcMar>
          </w:tcPr>
          <w:p>
            <w:pPr>
              <w:spacing w:before="40" w:after="40"/>
            </w:pPr>
            <w:r>
              <w:rPr>
                <w:rFonts w:ascii="Calibri" w:hAnsi="Calibri"/>
                <w:b/>
                <w:color w:val="1E293B"/>
                <w:sz w:val="18"/>
              </w:rPr>
              <w:t>E2</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N-INIT -&gt; N-END</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Command &amp; Scripting Interpreter [T1059]</w:t>
            </w:r>
          </w:p>
        </w:tc>
        <w:tc>
          <w:tcPr>
            <w:tcW w:type="dxa" w:w="3168"/>
            <w:shd w:fill="F8FAFC"/>
            <w:tcMar>
              <w:top w:w="80" w:type="dxa"/>
              <w:bottom w:w="80" w:type="dxa"/>
              <w:left w:w="130" w:type="dxa"/>
              <w:right w:w="130" w:type="dxa"/>
            </w:tcMar>
          </w:tcPr>
          <w:p>
            <w:pPr>
              <w:spacing w:before="40" w:after="40"/>
            </w:pPr>
            <w:r>
              <w:rPr>
                <w:rFonts w:ascii="Calibri" w:hAnsi="Calibri"/>
                <w:color w:val="1E293B"/>
                <w:sz w:val="18"/>
              </w:rPr>
              <w:t>P = 0.70 (Host perimeter breach)</w:t>
            </w:r>
          </w:p>
        </w:tc>
      </w:tr>
      <w:tr>
        <w:tc>
          <w:tcPr>
            <w:tcW w:type="dxa" w:w="1728"/>
            <w:shd w:fill="FFFFFF"/>
            <w:tcMar>
              <w:top w:w="80" w:type="dxa"/>
              <w:bottom w:w="80" w:type="dxa"/>
              <w:left w:w="130" w:type="dxa"/>
              <w:right w:w="130" w:type="dxa"/>
            </w:tcMar>
          </w:tcPr>
          <w:p>
            <w:pPr>
              <w:spacing w:before="40" w:after="40"/>
            </w:pPr>
            <w:r>
              <w:rPr>
                <w:rFonts w:ascii="Calibri" w:hAnsi="Calibri"/>
                <w:b/>
                <w:color w:val="1E293B"/>
                <w:sz w:val="18"/>
              </w:rPr>
              <w:t>E3</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N-END -&gt; N-CRED</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OS Credential Dumping: LSASS [T1003]</w:t>
            </w:r>
          </w:p>
        </w:tc>
        <w:tc>
          <w:tcPr>
            <w:tcW w:type="dxa" w:w="3168"/>
            <w:shd w:fill="FFFFFF"/>
            <w:tcMar>
              <w:top w:w="80" w:type="dxa"/>
              <w:bottom w:w="80" w:type="dxa"/>
              <w:left w:w="130" w:type="dxa"/>
              <w:right w:w="130" w:type="dxa"/>
            </w:tcMar>
          </w:tcPr>
          <w:p>
            <w:pPr>
              <w:spacing w:before="40" w:after="40"/>
            </w:pPr>
            <w:r>
              <w:rPr>
                <w:rFonts w:ascii="Calibri" w:hAnsi="Calibri"/>
                <w:color w:val="1E293B"/>
                <w:sz w:val="18"/>
              </w:rPr>
              <w:t>P = 0.65 (Memory credential harvest)</w:t>
            </w:r>
          </w:p>
        </w:tc>
      </w:tr>
      <w:tr>
        <w:tc>
          <w:tcPr>
            <w:tcW w:type="dxa" w:w="1728"/>
            <w:shd w:fill="F8FAFC"/>
            <w:tcMar>
              <w:top w:w="80" w:type="dxa"/>
              <w:bottom w:w="80" w:type="dxa"/>
              <w:left w:w="130" w:type="dxa"/>
              <w:right w:w="130" w:type="dxa"/>
            </w:tcMar>
          </w:tcPr>
          <w:p>
            <w:pPr>
              <w:spacing w:before="40" w:after="40"/>
            </w:pPr>
            <w:r>
              <w:rPr>
                <w:rFonts w:ascii="Calibri" w:hAnsi="Calibri"/>
                <w:b/>
                <w:color w:val="1E293B"/>
                <w:sz w:val="18"/>
              </w:rPr>
              <w:t>E4</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N-CRED -&gt; N-LAT</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Pass the Hash / Lateral Movement [T1550]</w:t>
            </w:r>
          </w:p>
        </w:tc>
        <w:tc>
          <w:tcPr>
            <w:tcW w:type="dxa" w:w="3168"/>
            <w:shd w:fill="F8FAFC"/>
            <w:tcMar>
              <w:top w:w="80" w:type="dxa"/>
              <w:bottom w:w="80" w:type="dxa"/>
              <w:left w:w="130" w:type="dxa"/>
              <w:right w:w="130" w:type="dxa"/>
            </w:tcMar>
          </w:tcPr>
          <w:p>
            <w:pPr>
              <w:spacing w:before="40" w:after="40"/>
            </w:pPr>
            <w:r>
              <w:rPr>
                <w:rFonts w:ascii="Calibri" w:hAnsi="Calibri"/>
                <w:color w:val="1E293B"/>
                <w:sz w:val="18"/>
              </w:rPr>
              <w:t>P = 0.50 (Internal server pivot)</w:t>
            </w:r>
          </w:p>
        </w:tc>
      </w:tr>
      <w:tr>
        <w:tc>
          <w:tcPr>
            <w:tcW w:type="dxa" w:w="1728"/>
            <w:shd w:fill="FFFFFF"/>
            <w:tcMar>
              <w:top w:w="80" w:type="dxa"/>
              <w:bottom w:w="80" w:type="dxa"/>
              <w:left w:w="130" w:type="dxa"/>
              <w:right w:w="130" w:type="dxa"/>
            </w:tcMar>
          </w:tcPr>
          <w:p>
            <w:pPr>
              <w:spacing w:before="40" w:after="40"/>
            </w:pPr>
            <w:r>
              <w:rPr>
                <w:rFonts w:ascii="Calibri" w:hAnsi="Calibri"/>
                <w:b/>
                <w:color w:val="1E293B"/>
                <w:sz w:val="18"/>
              </w:rPr>
              <w:t>E5</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N-LAT -&gt; N-PRIV</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Steal or Forge Kerberos / DC Admin [T1558]</w:t>
            </w:r>
          </w:p>
        </w:tc>
        <w:tc>
          <w:tcPr>
            <w:tcW w:type="dxa" w:w="3168"/>
            <w:shd w:fill="FFFFFF"/>
            <w:tcMar>
              <w:top w:w="80" w:type="dxa"/>
              <w:bottom w:w="80" w:type="dxa"/>
              <w:left w:w="130" w:type="dxa"/>
              <w:right w:w="130" w:type="dxa"/>
            </w:tcMar>
          </w:tcPr>
          <w:p>
            <w:pPr>
              <w:spacing w:before="40" w:after="40"/>
            </w:pPr>
            <w:r>
              <w:rPr>
                <w:rFonts w:ascii="Calibri" w:hAnsi="Calibri"/>
                <w:color w:val="1E293B"/>
                <w:sz w:val="18"/>
              </w:rPr>
              <w:t>P = 0.40 (Privilege escalation)</w:t>
            </w:r>
          </w:p>
        </w:tc>
      </w:tr>
      <w:tr>
        <w:tc>
          <w:tcPr>
            <w:tcW w:type="dxa" w:w="1728"/>
            <w:shd w:fill="F8FAFC"/>
            <w:tcMar>
              <w:top w:w="80" w:type="dxa"/>
              <w:bottom w:w="80" w:type="dxa"/>
              <w:left w:w="130" w:type="dxa"/>
              <w:right w:w="130" w:type="dxa"/>
            </w:tcMar>
          </w:tcPr>
          <w:p>
            <w:pPr>
              <w:spacing w:before="40" w:after="40"/>
            </w:pPr>
            <w:r>
              <w:rPr>
                <w:rFonts w:ascii="Calibri" w:hAnsi="Calibri"/>
                <w:b/>
                <w:color w:val="1E293B"/>
                <w:sz w:val="18"/>
              </w:rPr>
              <w:t>E6</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N-PRIV -&gt; N-CRIT</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Automated Exfiltration of Vault [T1048]</w:t>
            </w:r>
          </w:p>
        </w:tc>
        <w:tc>
          <w:tcPr>
            <w:tcW w:type="dxa" w:w="3168"/>
            <w:shd w:fill="F8FAFC"/>
            <w:tcMar>
              <w:top w:w="80" w:type="dxa"/>
              <w:bottom w:w="80" w:type="dxa"/>
              <w:left w:w="130" w:type="dxa"/>
              <w:right w:w="130" w:type="dxa"/>
            </w:tcMar>
          </w:tcPr>
          <w:p>
            <w:pPr>
              <w:spacing w:before="40" w:after="40"/>
            </w:pPr>
            <w:r>
              <w:rPr>
                <w:rFonts w:ascii="Calibri" w:hAnsi="Calibri"/>
                <w:color w:val="1E293B"/>
                <w:sz w:val="18"/>
              </w:rPr>
              <w:t>P = 0.30 (Critical database target)</w:t>
            </w:r>
          </w:p>
        </w:tc>
      </w:tr>
    </w:tbl>
    <w:p>
      <w:pPr>
        <w:pStyle w:val="Heading2"/>
        <w:keepNext/>
        <w:spacing w:before="280" w:after="120"/>
      </w:pPr>
      <w:r>
        <w:rPr>
          <w:b/>
          <w:color w:val="0284C7"/>
          <w:sz w:val="25"/>
        </w:rPr>
        <w:t>8.2 Markov Chain Transition Probabilities &amp; Interactive Canvas</w:t>
      </w:r>
    </w:p>
    <w:p>
      <w:pPr>
        <w:spacing w:after="120" w:line="276" w:lineRule="auto"/>
      </w:pPr>
      <w:r>
        <w:rPr>
          <w:color w:val="1E293B"/>
        </w:rPr>
        <w:t>Adversary traversal is modeled via a first-order Markov Chain where the transition probability matrix P_ij defines the likelihood that an adversary currently at node i will successfully traverse edge (i, j) in the next step. In 'client/pages/attack-graph.html', the graph is rendered using an interactive HTML5 Canvas. Nodes are draggable with real-time force physics. When the operator clicks 'EXECUTE 10-STEP SIMULATION', the engine simulates 10 discrete attack waves, animating threat wave pulses across vulnerable edges and updating risk counters in real time.</w:t>
      </w:r>
    </w:p>
    <w:p>
      <w:pPr>
        <w:pStyle w:val="Heading2"/>
        <w:keepNext/>
        <w:spacing w:before="280" w:after="120"/>
      </w:pPr>
      <w:r>
        <w:rPr>
          <w:b/>
          <w:color w:val="0284C7"/>
          <w:sz w:val="25"/>
        </w:rPr>
        <w:t>8.3 Monte Carlo Threat Simulation Suite &amp; Universal Role Access</w:t>
      </w:r>
    </w:p>
    <w:p>
      <w:pPr>
        <w:spacing w:after="120" w:line="276" w:lineRule="auto"/>
      </w:pPr>
      <w:r>
        <w:rPr>
          <w:color w:val="1E293B"/>
        </w:rPr>
        <w:t>To empirically test defense resilience under active adversarial scenarios, NeuroShield integrates a high-performance Monte Carlo Simulation Suite ('server/engines/threat/monteCarlo.js' &amp; 'server/services/simulationService.js'). The simulation suite is universally accessible to all authenticated operators, including standard employees, allowing organizational users to model cyber resilience without administrative elevation:</w:t>
      </w:r>
    </w:p>
    <w:p>
      <w:pPr>
        <w:pStyle w:val="ListBullet"/>
        <w:spacing w:after="80" w:line="276" w:lineRule="auto"/>
      </w:pPr>
      <w:r>
        <w:rPr>
          <w:b/>
          <w:color w:val="0F172A"/>
        </w:rPr>
        <w:t xml:space="preserve">Live Ground-Truth Telemetry Feeding: </w:t>
      </w:r>
      <w:r>
        <w:rPr>
          <w:color w:val="334155"/>
        </w:rPr>
        <w:t>Rather than relying on abstract hypothetical distributions, the Monte Carlo engine dynamically pulls the operator's locked biometric baseline features directly from MongoDB to simulate customized human-factor threat variations.</w:t>
      </w:r>
    </w:p>
    <w:p>
      <w:pPr>
        <w:pStyle w:val="ListBullet"/>
        <w:spacing w:after="80" w:line="276" w:lineRule="auto"/>
      </w:pPr>
      <w:r>
        <w:rPr>
          <w:b/>
          <w:color w:val="0F172A"/>
        </w:rPr>
        <w:t xml:space="preserve">Stochastic Scenario Execution: </w:t>
      </w:r>
      <w:r>
        <w:rPr>
          <w:color w:val="334155"/>
        </w:rPr>
        <w:t>Simulates 100 to 10,000 randomized intrusion iterations across lateral movement trajectories, evaluating defensive containment probabilities, mean-time-to-containment (MTTC), and simulated asset compromise rates.</w:t>
      </w:r>
    </w:p>
    <w:p>
      <w:r>
        <w:br w:type="page"/>
      </w:r>
    </w:p>
    <w:p>
      <w:pPr>
        <w:pStyle w:val="Heading1"/>
        <w:keepNext/>
        <w:spacing w:before="400" w:after="160"/>
      </w:pPr>
      <w:r>
        <w:rPr>
          <w:b/>
          <w:color w:val="0A2540"/>
          <w:sz w:val="32"/>
        </w:rPr>
        <w:t>Chapter 9: Layer 5 - Dynamic Deception Technology &amp; Deterministic Honeypots</w:t>
      </w:r>
    </w:p>
    <w:p>
      <w:pPr>
        <w:spacing w:after="120" w:line="276" w:lineRule="auto"/>
      </w:pPr>
      <w:r>
        <w:rPr>
          <w:color w:val="1E293B"/>
        </w:rPr>
        <w:t>Heuristic intrusion detection systems frequently flood security analysts with thousands of false alarms, causing alert fatigue. Layer 5 ('server/models/DeceptionAsset.js') deploys dynamic deception technology. Decoys are synthetic assets with zero operational value: no legitimate employee or authorized script ever has reason to interact with them. Therefore, any interaction represents 100% confidence malicious intent.</w:t>
      </w:r>
    </w:p>
    <w:p>
      <w:pPr>
        <w:pStyle w:val="Heading2"/>
        <w:keepNext/>
        <w:spacing w:before="280" w:after="120"/>
      </w:pPr>
      <w:r>
        <w:rPr>
          <w:b/>
          <w:color w:val="0284C7"/>
          <w:sz w:val="25"/>
        </w:rPr>
        <w:t>9.1 Pre-Seeded Deception Decoys &amp; Mechanics</w:t>
      </w:r>
    </w:p>
    <w:p>
      <w:pPr>
        <w:pStyle w:val="ListBullet"/>
        <w:spacing w:after="80" w:line="276" w:lineRule="auto"/>
      </w:pPr>
      <w:r>
        <w:rPr>
          <w:b/>
          <w:color w:val="0F172A"/>
        </w:rPr>
        <w:t xml:space="preserve">Decoy 1: DEC-001 — Admin SSH Key Honeytoken: </w:t>
      </w:r>
      <w:r>
        <w:rPr>
          <w:color w:val="334155"/>
        </w:rPr>
        <w:t>A synthetic OpenSSH private key planted in realistic backup locations ('/etc/security/id_rsa_backup'). Configured with status ARMED. Any read attempt immediately flags the requesting user ID as an active intruder.</w:t>
      </w:r>
    </w:p>
    <w:p>
      <w:pPr>
        <w:pStyle w:val="ListBullet"/>
        <w:spacing w:after="80" w:line="276" w:lineRule="auto"/>
      </w:pPr>
      <w:r>
        <w:rPr>
          <w:b/>
          <w:color w:val="0F172A"/>
        </w:rPr>
        <w:t xml:space="preserve">Decoy 2: DEC-002 — Decoy SQL Database Port: </w:t>
      </w:r>
      <w:r>
        <w:rPr>
          <w:color w:val="334155"/>
        </w:rPr>
        <w:t>A simulated database listener binding to TCP port 54322 (Internal Decoy PostgreSQL). Intruders performing local port scans or automated credential stuffing on this port are immediately fingerprinted and blocked.</w:t>
      </w:r>
    </w:p>
    <w:p>
      <w:pPr>
        <w:pStyle w:val="ListBullet"/>
        <w:spacing w:after="80" w:line="276" w:lineRule="auto"/>
      </w:pPr>
      <w:r>
        <w:rPr>
          <w:b/>
          <w:color w:val="0F172A"/>
        </w:rPr>
        <w:t xml:space="preserve">Decoy 3: DEC-003 — Canary Cloud API Token: </w:t>
      </w:r>
      <w:r>
        <w:rPr>
          <w:color w:val="334155"/>
        </w:rPr>
        <w:t>A synthetic AWS/Azure access key embedded in developer configuration paths ('env/aws_dev_credentials.json'). Monitors for credential harvesting scripts.</w:t>
      </w:r>
    </w:p>
    <w:p>
      <w:pPr>
        <w:pStyle w:val="Heading2"/>
        <w:keepNext/>
        <w:spacing w:before="280" w:after="120"/>
      </w:pPr>
      <w:r>
        <w:rPr>
          <w:b/>
          <w:color w:val="0284C7"/>
          <w:sz w:val="25"/>
        </w:rPr>
        <w:t>9.2 Deception Trigger Pipeline</w:t>
      </w:r>
    </w:p>
    <w:p>
      <w:pPr>
        <w:spacing w:after="120" w:line="276" w:lineRule="auto"/>
      </w:pPr>
      <w:r>
        <w:rPr>
          <w:color w:val="1E293B"/>
        </w:rPr>
        <w:t>When an interaction occurs, the deception router (/api/deception/trigger) logs a CRITICAL security event, dispatches an instant 'deception:trigger' WebSocket broadcast, displays a desktop alert toast, and instantaneously collapses the offending user's Trust Score to 0.</w:t>
      </w:r>
    </w:p>
    <w:p>
      <w:r>
        <w:br w:type="page"/>
      </w:r>
    </w:p>
    <w:p>
      <w:pPr>
        <w:pStyle w:val="Heading1"/>
        <w:keepNext/>
        <w:spacing w:before="400" w:after="160"/>
      </w:pPr>
      <w:r>
        <w:rPr>
          <w:b/>
          <w:color w:val="0A2540"/>
          <w:sz w:val="32"/>
        </w:rPr>
        <w:t>Chapter 10: Defensive Endpoint Auditing, File Integrity Monitoring (FIM) &amp; Networks</w:t>
      </w:r>
    </w:p>
    <w:p>
      <w:pPr>
        <w:spacing w:after="120" w:line="276" w:lineRule="auto"/>
      </w:pPr>
      <w:r>
        <w:rPr>
          <w:color w:val="1E293B"/>
        </w:rPr>
        <w:t>In accordance with NIST SP 800-128 host configuration standards, NeuroShield implements three active endpoint auditing services:</w:t>
      </w:r>
    </w:p>
    <w:p>
      <w:pPr>
        <w:pStyle w:val="Heading2"/>
        <w:keepNext/>
        <w:spacing w:before="280" w:after="120"/>
      </w:pPr>
      <w:r>
        <w:rPr>
          <w:b/>
          <w:color w:val="0284C7"/>
          <w:sz w:val="25"/>
        </w:rPr>
        <w:t>10.1 The Canary Vault &amp; Cryptographic File Integrity Monitoring (FIM)</w:t>
      </w:r>
    </w:p>
    <w:p>
      <w:pPr>
        <w:spacing w:after="120" w:line="276" w:lineRule="auto"/>
      </w:pPr>
      <w:r>
        <w:rPr>
          <w:color w:val="1E293B"/>
        </w:rPr>
        <w:t>Ransomware strains and data wipers frequently begin by enumerating local user directories for sensitive documents and credentials. The FIM service ('server/services/fimService.js') operates an automated tripwire Canary Vault:</w:t>
      </w:r>
    </w:p>
    <w:p>
      <w:pPr>
        <w:pStyle w:val="ListBullet"/>
        <w:spacing w:after="80" w:line="276" w:lineRule="auto"/>
      </w:pPr>
      <w:r>
        <w:rPr>
          <w:b/>
          <w:color w:val="0F172A"/>
        </w:rPr>
        <w:t xml:space="preserve">Vault Location: </w:t>
      </w:r>
      <w:r>
        <w:rPr>
          <w:color w:val="334155"/>
        </w:rPr>
        <w:t>Created automatically at %APPDATA%\NeuroShield\CanaryVault\ upon service startup.</w:t>
      </w:r>
    </w:p>
    <w:p>
      <w:pPr>
        <w:pStyle w:val="ListBullet"/>
        <w:spacing w:after="80" w:line="276" w:lineRule="auto"/>
      </w:pPr>
      <w:r>
        <w:rPr>
          <w:b/>
          <w:color w:val="0F172A"/>
        </w:rPr>
        <w:t xml:space="preserve">Tripwire Files: </w:t>
      </w:r>
      <w:r>
        <w:rPr>
          <w:color w:val="334155"/>
        </w:rPr>
        <w:t>Deploys 'secrets.env' and 'backup_codes.txt'. The service calculates and stores their cryptographic SHA-256 baseline hashes.</w:t>
      </w:r>
    </w:p>
    <w:p>
      <w:pPr>
        <w:pStyle w:val="ListBullet"/>
        <w:spacing w:after="80" w:line="276" w:lineRule="auto"/>
      </w:pPr>
      <w:r>
        <w:rPr>
          <w:b/>
          <w:color w:val="0F172A"/>
        </w:rPr>
        <w:t xml:space="preserve">Active Filesystem Watcher: </w:t>
      </w:r>
      <w:r>
        <w:rPr>
          <w:color w:val="334155"/>
        </w:rPr>
        <w:t>Maintains an active Node.js fs.watch listener and periodic checksum comparator. If an unauthorized script or intruder touches, modifies, deletes, or renames any canary file, the hash discrepancy is detected in sub-100ms.</w:t>
      </w:r>
    </w:p>
    <w:p>
      <w:pPr>
        <w:pStyle w:val="ListBullet"/>
        <w:spacing w:after="80" w:line="276" w:lineRule="auto"/>
      </w:pPr>
      <w:r>
        <w:rPr>
          <w:b/>
          <w:color w:val="0F172A"/>
        </w:rPr>
        <w:t xml:space="preserve">Interactive Intrusion Simulator: </w:t>
      </w:r>
      <w:r>
        <w:rPr>
          <w:color w:val="334155"/>
        </w:rPr>
        <w:t>In 'client/pages/endpoint-audit.html', judges can click 'Trip Canary Trap (Simulate Intrusion)'. The server executes /api/auditing/fim/touch-canary, which appends an intrusion tamper byte to the canary file. The watcher immediately detects the modification and fires a critical 'fim:alert' across the desktop.</w:t>
      </w:r>
    </w:p>
    <w:p>
      <w:pPr>
        <w:pStyle w:val="Heading2"/>
        <w:keepNext/>
        <w:spacing w:before="280" w:after="120"/>
      </w:pPr>
      <w:r>
        <w:rPr>
          <w:b/>
          <w:color w:val="0284C7"/>
          <w:sz w:val="25"/>
        </w:rPr>
        <w:t>10.2 System Workload &amp; Defensive Port Auditing</w:t>
      </w:r>
    </w:p>
    <w:p>
      <w:pPr>
        <w:spacing w:after="120" w:line="276" w:lineRule="auto"/>
      </w:pPr>
      <w:r>
        <w:rPr>
          <w:color w:val="1E293B"/>
        </w:rPr>
        <w:t>The system auditor ('server/services/systemAuditorService.js') samples CPU core load, available RAM, and uptime to detect runaway crypto-mining processes. Concurrently, the network auditor ('server/services/networkAuditorService.js') performs non-blocking TCP socket scans against critical ports (SSH: 22, HTTP: 80, HTTPS: 443, RDP: 3389, API: 5000, MongoDB: 27017) and audits cloud DNS latency.</w:t>
      </w:r>
    </w:p>
    <w:p>
      <w:pPr>
        <w:pStyle w:val="Heading2"/>
        <w:keepNext/>
        <w:spacing w:before="280" w:after="120"/>
      </w:pPr>
      <w:r>
        <w:rPr>
          <w:b/>
          <w:color w:val="0284C7"/>
          <w:sz w:val="25"/>
        </w:rPr>
        <w:t>10.3 Universal FIM Canary Tripwire &amp; Scoped Employee Dashboards</w:t>
      </w:r>
    </w:p>
    <w:p>
      <w:pPr>
        <w:spacing w:after="120" w:line="276" w:lineRule="auto"/>
      </w:pPr>
      <w:r>
        <w:rPr>
          <w:color w:val="1E293B"/>
        </w:rPr>
        <w:t>NeuroShield enforces strict least-privilege scoping across dashboard views while ensuring universal defensive auditing access:</w:t>
      </w:r>
    </w:p>
    <w:p>
      <w:pPr>
        <w:pStyle w:val="ListBullet"/>
        <w:spacing w:after="80" w:line="276" w:lineRule="auto"/>
      </w:pPr>
      <w:r>
        <w:rPr>
          <w:b/>
          <w:color w:val="0F172A"/>
        </w:rPr>
        <w:t xml:space="preserve">Universal Canary Tripwire Testing: </w:t>
      </w:r>
      <w:r>
        <w:rPr>
          <w:color w:val="334155"/>
        </w:rPr>
        <w:t>Every user—regardless of role—has access to test the Canary Vault tripwire ('POST /api/auditing/fim/touch-canary'). This enables employees to participate in live security validation without possessing administrative privileges.</w:t>
      </w:r>
    </w:p>
    <w:p>
      <w:pPr>
        <w:pStyle w:val="ListBullet"/>
        <w:spacing w:after="80" w:line="276" w:lineRule="auto"/>
      </w:pPr>
      <w:r>
        <w:rPr>
          <w:b/>
          <w:color w:val="0F172A"/>
        </w:rPr>
        <w:t xml:space="preserve">Employee Personal Dashboard Scoping: </w:t>
      </w:r>
      <w:r>
        <w:rPr>
          <w:color w:val="334155"/>
        </w:rPr>
        <w:t>When an employee logs into the dashboard, the backend automatically scopes all queries: the employee views strictly their own behavioral biometrics, their personal security alerts, and their personal audit logs. Administrative cluster controls, global security rosters, and company-wide event streams remain restricted to ADMIN and SECURITY_ANALYST roles.</w:t>
      </w:r>
    </w:p>
    <w:p>
      <w:r>
        <w:br w:type="page"/>
      </w:r>
    </w:p>
    <w:p>
      <w:pPr>
        <w:pStyle w:val="Heading1"/>
        <w:keepNext/>
        <w:spacing w:before="400" w:after="160"/>
      </w:pPr>
      <w:r>
        <w:rPr>
          <w:b/>
          <w:color w:val="0A2540"/>
          <w:sz w:val="32"/>
        </w:rPr>
        <w:t>Chapter 11: Real-Time Event Mesh, Socket.IO WebSockets &amp; Native Notifications</w:t>
      </w:r>
    </w:p>
    <w:p>
      <w:pPr>
        <w:spacing w:after="120" w:line="276" w:lineRule="auto"/>
      </w:pPr>
      <w:r>
        <w:rPr>
          <w:color w:val="1E293B"/>
        </w:rPr>
        <w:t>A Security Operations Center requires instantaneous, sub-second event synchronization. NeuroShield eliminates page refresh polling by implementing a bidirectional real-time event pipeline ('server/services/realtimeService.js' &amp; 'client/js/realtime.js').</w:t>
      </w:r>
    </w:p>
    <w:p>
      <w:pPr>
        <w:pStyle w:val="Heading2"/>
        <w:keepNext/>
        <w:spacing w:before="280" w:after="120"/>
      </w:pPr>
      <w:r>
        <w:rPr>
          <w:b/>
          <w:color w:val="0284C7"/>
          <w:sz w:val="25"/>
        </w:rPr>
        <w:t>11.1 Socket.IO Mesh &amp; MongoDB Change Streams</w:t>
      </w:r>
    </w:p>
    <w:p>
      <w:pPr>
        <w:spacing w:after="120" w:line="276" w:lineRule="auto"/>
      </w:pPr>
      <w:r>
        <w:rPr>
          <w:color w:val="1E293B"/>
        </w:rPr>
        <w:t>When running with MongoDB Atlas, the server attaches native MongoDB Change Streams to the 'alerts', 'securityevents', and 'deceptionassets' collections. Whenever a document is inserted or updated in the database, the MongoDB replica set notifies Express, which immediately broadcasts the payload over Socket.IO WebSockets to all connected desktop clients.</w:t>
      </w:r>
    </w:p>
    <w:p>
      <w:pPr>
        <w:pStyle w:val="Heading2"/>
        <w:keepNext/>
        <w:spacing w:before="280" w:after="120"/>
      </w:pPr>
      <w:r>
        <w:rPr>
          <w:b/>
          <w:color w:val="0284C7"/>
          <w:sz w:val="25"/>
        </w:rPr>
        <w:t>11.2 Dual-Tier Alert Notification Delivery</w:t>
      </w:r>
    </w:p>
    <w:p>
      <w:pPr>
        <w:spacing w:after="120" w:line="276" w:lineRule="auto"/>
      </w:pPr>
      <w:r>
        <w:rPr>
          <w:color w:val="1E293B"/>
        </w:rPr>
        <w:t>Alerts are presented through two synchronized notification tiers:</w:t>
      </w:r>
    </w:p>
    <w:p>
      <w:pPr>
        <w:pStyle w:val="ListBullet"/>
        <w:spacing w:after="80" w:line="276" w:lineRule="auto"/>
      </w:pPr>
      <w:r>
        <w:rPr>
          <w:b/>
          <w:color w:val="0F172A"/>
        </w:rPr>
        <w:t xml:space="preserve">Tier 1: Desktop Client Slide-In Toasts: </w:t>
      </w:r>
      <w:r>
        <w:rPr>
          <w:color w:val="334155"/>
        </w:rPr>
        <w:t>Rendered dynamically inside 'client/dashboard.html' in the #toast-container. Formatted with color-coded severity indicators (CRITICAL red, HIGH yellow, INFO cyan) with automated 5-second fade-out animations.</w:t>
      </w:r>
    </w:p>
    <w:p>
      <w:pPr>
        <w:pStyle w:val="ListBullet"/>
        <w:spacing w:after="80" w:line="276" w:lineRule="auto"/>
      </w:pPr>
      <w:r>
        <w:rPr>
          <w:b/>
          <w:color w:val="0F172A"/>
        </w:rPr>
        <w:t xml:space="preserve">Tier 2: Native Windows OS Action Center Notifications: </w:t>
      </w:r>
      <w:r>
        <w:rPr>
          <w:color w:val="334155"/>
        </w:rPr>
        <w:t>Dispatched via Electron IPC ('neuroshield:show-notification'). Generates an authentic Windows 10/11 Action Center alert with the NeuroShield shield icon, notifying administrators even if the application is minimized.</w:t>
      </w:r>
    </w:p>
    <w:p>
      <w:r>
        <w:br w:type="page"/>
      </w:r>
    </w:p>
    <w:p>
      <w:pPr>
        <w:pStyle w:val="Heading1"/>
        <w:keepNext/>
        <w:spacing w:before="400" w:after="160"/>
      </w:pPr>
      <w:r>
        <w:rPr>
          <w:b/>
          <w:color w:val="0A2540"/>
          <w:sz w:val="32"/>
        </w:rPr>
        <w:t>Chapter 12: Step-by-Step Live Demonstration Playbook</w:t>
      </w:r>
    </w:p>
    <w:p>
      <w:pPr>
        <w:spacing w:after="120" w:line="276" w:lineRule="auto"/>
      </w:pPr>
      <w:r>
        <w:rPr>
          <w:color w:val="1E293B"/>
        </w:rPr>
        <w:t>This standardized evaluation playbook allows presenters to demonstrate all capabilities of NeuroShield to competition judges in approximately 5 minutes:</w:t>
      </w:r>
    </w:p>
    <w:p>
      <w:pPr>
        <w:spacing w:before="120" w:after="40"/>
      </w:pPr>
      <w:r>
        <w:rPr>
          <w:b/>
          <w:color w:val="0284C7"/>
        </w:rPr>
        <w:t>► Step 1: Launch Software &amp; 1-Click Persona Authentication</w:t>
      </w:r>
    </w:p>
    <w:p>
      <w:pPr>
        <w:spacing w:after="120"/>
        <w:ind w:left="288"/>
      </w:pPr>
      <w:r>
        <w:t>Action: Launch the application via 'npm run electron'.</w:t>
        <w:br/>
        <w:t>Script: 'Notice the 1-CLICK DEMO ACCESS panel on our sign-in screen. We have pre-seeded an enterprise roster covering SOC Admins, CISOs, Analysts, DevOps, and Insiders. I will click SOC Admin (admin@neuroshield.local).'</w:t>
        <w:br/>
        <w:t>Result: The client authenticates immediately without manual typing and loads the main command dashboard.</w:t>
      </w:r>
    </w:p>
    <w:p>
      <w:pPr>
        <w:spacing w:before="120" w:after="40"/>
      </w:pPr>
      <w:r>
        <w:rPr>
          <w:b/>
          <w:color w:val="0284C7"/>
        </w:rPr>
        <w:t>► Step 2: Inspect Live Pointer &amp; Typing Speed (At-Rest Zero Guarantee)</w:t>
      </w:r>
    </w:p>
    <w:p>
      <w:pPr>
        <w:spacing w:after="120"/>
        <w:ind w:left="288"/>
      </w:pPr>
      <w:r>
        <w:t>Action: Direct attention to the top header badge: 'Pointer: 0 px/s | Typing: 0 WPM'. Move the mouse across the desktop.</w:t>
        <w:br/>
        <w:t>Script: 'Notice that while idle, both speed indicators strictly read zero. As I move the mouse anywhere across the Windows OS, the pointer velocity tracks my movement in real time. The moment I pause, deadband filters drop it cleanly back to zero.'</w:t>
        <w:br/>
        <w:t>Result: Live velocity updates responsively between 0 and 1200+ px/s.</w:t>
      </w:r>
    </w:p>
    <w:p>
      <w:pPr>
        <w:spacing w:before="120" w:after="40"/>
      </w:pPr>
      <w:r>
        <w:rPr>
          <w:b/>
          <w:color w:val="0284C7"/>
        </w:rPr>
        <w:t>► Step 3: Interactive Behavioral Biometric Calibration Sandbox</w:t>
      </w:r>
    </w:p>
    <w:p>
      <w:pPr>
        <w:spacing w:after="120"/>
        <w:ind w:left="288"/>
      </w:pPr>
      <w:r>
        <w:t>Action: Navigate to 'Layer 1: Behavioral Biometrics' ('behavior.html'). Type into the live typing sandbox.</w:t>
        <w:br/>
        <w:t>Script: 'NeuroShield continuously monitors human subconscious rhythm. As I type the target sentence, notice the Typing Speed (WPM) and Inter-Key Interval (ms) tracking my cadence. Clicking Analyze Live Telemetry evaluates my dynamics through our K-Means, One-Class SVM, and Random Forest ensemble.'</w:t>
        <w:br/>
        <w:t>Result: HUD updates dynamically and outputs a GENUINE classification with anomaly score &lt; 0.20.</w:t>
      </w:r>
    </w:p>
    <w:p>
      <w:pPr>
        <w:spacing w:before="120" w:after="40"/>
      </w:pPr>
      <w:r>
        <w:rPr>
          <w:b/>
          <w:color w:val="0284C7"/>
        </w:rPr>
        <w:t>► Step 4: Execute Markov Threat Simulation on Interactive Attack Graph</w:t>
      </w:r>
    </w:p>
    <w:p>
      <w:pPr>
        <w:spacing w:after="120"/>
        <w:ind w:left="288"/>
      </w:pPr>
      <w:r>
        <w:t>Action: Open 'Layer 4: Threat Prediction' ('attack-graph.html'). Drag nodes on the canvas. Click 'EXECUTE 10-STEP SIMULATION'.</w:t>
        <w:br/>
        <w:t>Script: 'Here is our MITRE ATT&amp;CK killchain topology. These nodes represent our enterprise assets. When I execute the simulation, the Markov chain calculates exploit hop probabilities, animating threat wave propagation from Employee Identity to the Database Vault.'</w:t>
        <w:br/>
        <w:t>Result: Animated threat pulses traverse the canvas and a simulation completion toast alerts across the desktop.</w:t>
      </w:r>
    </w:p>
    <w:p>
      <w:pPr>
        <w:spacing w:before="120" w:after="40"/>
      </w:pPr>
      <w:r>
        <w:rPr>
          <w:b/>
          <w:color w:val="0284C7"/>
        </w:rPr>
        <w:t>► Step 5: Trip File Integrity Canary Tripwire (FIM)</w:t>
      </w:r>
    </w:p>
    <w:p>
      <w:pPr>
        <w:spacing w:after="120"/>
        <w:ind w:left="288"/>
      </w:pPr>
      <w:r>
        <w:t>Action: Open 'Endpoint &amp; FIM Audit' ('endpoint-audit.html'). Click 'Trip Canary Trap (Simulate Intrusion)'.</w:t>
        <w:br/>
        <w:t>Script: 'Under NIST SP 800-128, we maintain an active Canary Vault in AppData with SHA-256 baselines. Let us simulate an attacker tampering with our canary files.'</w:t>
        <w:br/>
        <w:t>Result: An instant, critical red alarm banner ('🚨 FIM CANARY COMPROMISE') pops up across the desktop confirming sub-second detection.</w:t>
      </w:r>
    </w:p>
    <w:p>
      <w:pPr>
        <w:spacing w:before="120" w:after="40"/>
      </w:pPr>
      <w:r>
        <w:rPr>
          <w:b/>
          <w:color w:val="0284C7"/>
        </w:rPr>
        <w:t>► Step 6: Demonstrate Suspicious Insider &amp; Emergency Workstation Lockdown</w:t>
      </w:r>
    </w:p>
    <w:p>
      <w:pPr>
        <w:spacing w:after="120"/>
        <w:ind w:left="288"/>
      </w:pPr>
      <w:r>
        <w:t>Action: Log out. Click 'Suspicious Insider' (insider@neuroshield.local) to show suspended status. Log back in as Admin and press 'Ctrl+Shift+L'.</w:t>
        <w:br/>
        <w:t>Script: 'Notice our insider account is automatically suspended due to anomalous 3 AM access. Furthermore, if an operator faces physical coercion, pressing Ctrl+Shift+L instantly engages our full-screen Zero-Trust Workstation Lockdown.'</w:t>
        <w:br/>
        <w:t>Result: The frosted lockdown modal locks the host, requiring administrative password verification to restore access.</w:t>
      </w:r>
    </w:p>
    <w:p>
      <w:r>
        <w:br w:type="page"/>
      </w:r>
    </w:p>
    <w:p>
      <w:pPr>
        <w:pStyle w:val="Heading1"/>
        <w:keepNext/>
        <w:spacing w:before="400" w:after="160"/>
      </w:pPr>
      <w:r>
        <w:rPr>
          <w:b/>
          <w:color w:val="0A2540"/>
          <w:sz w:val="32"/>
        </w:rPr>
        <w:t>Chapter 13: Algorithmic Verification Test Metrics &amp; Production Build Engineering</w:t>
      </w:r>
    </w:p>
    <w:p>
      <w:pPr>
        <w:spacing w:after="120" w:line="276" w:lineRule="auto"/>
      </w:pPr>
      <w:r>
        <w:rPr>
          <w:color w:val="1E293B"/>
        </w:rPr>
        <w:t>Every mathematical formula, security engine, and API route in NeuroShield has been validated via automated Jest test suites. The test runner executes with forceExit and detectOpenHandles to guarantee zero asynchronous resource leakage:</w:t>
      </w:r>
    </w:p>
    <w:tbl>
      <w:tblPr>
        <w:tblW w:type="auto" w:w="0"/>
        <w:jc w:val="center"/>
        <w:tblLook w:firstColumn="1" w:firstRow="1" w:lastColumn="0" w:lastRow="0" w:noHBand="0" w:noVBand="1" w:val="04A0"/>
      </w:tblPr>
      <w:tblGrid>
        <w:gridCol w:w="2448"/>
        <w:gridCol w:w="2448"/>
        <w:gridCol w:w="2448"/>
        <w:gridCol w:w="2448"/>
      </w:tblGrid>
      <w:tr>
        <w:tc>
          <w:tcPr>
            <w:tcW w:type="dxa" w:w="3600"/>
            <w:shd w:fill="0F172A"/>
            <w:tcMar>
              <w:top w:w="130" w:type="dxa"/>
              <w:bottom w:w="130" w:type="dxa"/>
              <w:left w:w="130" w:type="dxa"/>
              <w:right w:w="130" w:type="dxa"/>
            </w:tcMar>
          </w:tcPr>
          <w:p>
            <w:pPr>
              <w:spacing w:before="40" w:after="40"/>
              <w:jc w:val="left"/>
            </w:pPr>
            <w:r>
              <w:rPr>
                <w:rFonts w:ascii="Calibri" w:hAnsi="Calibri"/>
                <w:b/>
                <w:color w:val="FFFFFF"/>
                <w:sz w:val="19"/>
              </w:rPr>
              <w:t>Test Suite File</w:t>
            </w:r>
          </w:p>
        </w:tc>
        <w:tc>
          <w:tcPr>
            <w:tcW w:type="dxa" w:w="3168"/>
            <w:shd w:fill="0F172A"/>
            <w:tcMar>
              <w:top w:w="130" w:type="dxa"/>
              <w:bottom w:w="130" w:type="dxa"/>
              <w:left w:w="130" w:type="dxa"/>
              <w:right w:w="130" w:type="dxa"/>
            </w:tcMar>
          </w:tcPr>
          <w:p>
            <w:pPr>
              <w:spacing w:before="40" w:after="40"/>
              <w:jc w:val="left"/>
            </w:pPr>
            <w:r>
              <w:rPr>
                <w:rFonts w:ascii="Calibri" w:hAnsi="Calibri"/>
                <w:b/>
                <w:color w:val="FFFFFF"/>
                <w:sz w:val="19"/>
              </w:rPr>
              <w:t>Subsystem Scope</w:t>
            </w:r>
          </w:p>
        </w:tc>
        <w:tc>
          <w:tcPr>
            <w:tcW w:type="dxa" w:w="1440"/>
            <w:shd w:fill="0F172A"/>
            <w:tcMar>
              <w:top w:w="130" w:type="dxa"/>
              <w:bottom w:w="130" w:type="dxa"/>
              <w:left w:w="130" w:type="dxa"/>
              <w:right w:w="130" w:type="dxa"/>
            </w:tcMar>
          </w:tcPr>
          <w:p>
            <w:pPr>
              <w:spacing w:before="40" w:after="40"/>
              <w:jc w:val="left"/>
            </w:pPr>
            <w:r>
              <w:rPr>
                <w:rFonts w:ascii="Calibri" w:hAnsi="Calibri"/>
                <w:b/>
                <w:color w:val="FFFFFF"/>
                <w:sz w:val="19"/>
              </w:rPr>
              <w:t>Tests</w:t>
            </w:r>
          </w:p>
        </w:tc>
        <w:tc>
          <w:tcPr>
            <w:tcW w:type="dxa" w:w="1872"/>
            <w:shd w:fill="0F172A"/>
            <w:tcMar>
              <w:top w:w="130" w:type="dxa"/>
              <w:bottom w:w="130" w:type="dxa"/>
              <w:left w:w="130" w:type="dxa"/>
              <w:right w:w="130" w:type="dxa"/>
            </w:tcMar>
          </w:tcPr>
          <w:p>
            <w:pPr>
              <w:spacing w:before="40" w:after="40"/>
              <w:jc w:val="left"/>
            </w:pPr>
            <w:r>
              <w:rPr>
                <w:rFonts w:ascii="Calibri" w:hAnsi="Calibri"/>
                <w:b/>
                <w:color w:val="FFFFFF"/>
                <w:sz w:val="19"/>
              </w:rPr>
              <w:t>Execution Status</w:t>
            </w:r>
          </w:p>
        </w:tc>
      </w:tr>
      <w:tr>
        <w:tc>
          <w:tcPr>
            <w:tcW w:type="dxa" w:w="3600"/>
            <w:shd w:fill="FFFFFF"/>
            <w:tcMar>
              <w:top w:w="80" w:type="dxa"/>
              <w:bottom w:w="80" w:type="dxa"/>
              <w:left w:w="130" w:type="dxa"/>
              <w:right w:w="130" w:type="dxa"/>
            </w:tcMar>
          </w:tcPr>
          <w:p>
            <w:pPr>
              <w:spacing w:before="40" w:after="40"/>
            </w:pPr>
            <w:r>
              <w:rPr>
                <w:rFonts w:ascii="Calibri" w:hAnsi="Calibri"/>
                <w:b/>
                <w:color w:val="1E293B"/>
                <w:sz w:val="18"/>
              </w:rPr>
              <w:t>tests/algorithms/behavior.test.js</w:t>
            </w:r>
          </w:p>
        </w:tc>
        <w:tc>
          <w:tcPr>
            <w:tcW w:type="dxa" w:w="3168"/>
            <w:shd w:fill="FFFFFF"/>
            <w:tcMar>
              <w:top w:w="80" w:type="dxa"/>
              <w:bottom w:w="80" w:type="dxa"/>
              <w:left w:w="130" w:type="dxa"/>
              <w:right w:w="130" w:type="dxa"/>
            </w:tcMar>
          </w:tcPr>
          <w:p>
            <w:pPr>
              <w:spacing w:before="40" w:after="40"/>
            </w:pPr>
            <w:r>
              <w:rPr>
                <w:rFonts w:ascii="Calibri" w:hAnsi="Calibri"/>
                <w:color w:val="1E293B"/>
                <w:sz w:val="18"/>
              </w:rPr>
              <w:t>K-Means, One-Class SVM, Telemetry Preprocessing</w:t>
            </w:r>
          </w:p>
        </w:tc>
        <w:tc>
          <w:tcPr>
            <w:tcW w:type="dxa" w:w="1440"/>
            <w:shd w:fill="FFFFFF"/>
            <w:tcMar>
              <w:top w:w="80" w:type="dxa"/>
              <w:bottom w:w="80" w:type="dxa"/>
              <w:left w:w="130" w:type="dxa"/>
              <w:right w:w="130" w:type="dxa"/>
            </w:tcMar>
          </w:tcPr>
          <w:p>
            <w:pPr>
              <w:spacing w:before="40" w:after="40"/>
            </w:pPr>
            <w:r>
              <w:rPr>
                <w:rFonts w:ascii="Calibri" w:hAnsi="Calibri"/>
                <w:color w:val="1E293B"/>
                <w:sz w:val="18"/>
              </w:rPr>
              <w:t>4 Tests</w:t>
            </w:r>
          </w:p>
        </w:tc>
        <w:tc>
          <w:tcPr>
            <w:tcW w:type="dxa" w:w="1872"/>
            <w:shd w:fill="FFFFFF"/>
            <w:tcMar>
              <w:top w:w="80" w:type="dxa"/>
              <w:bottom w:w="80" w:type="dxa"/>
              <w:left w:w="130" w:type="dxa"/>
              <w:right w:w="130" w:type="dxa"/>
            </w:tcMar>
          </w:tcPr>
          <w:p>
            <w:pPr>
              <w:spacing w:before="40" w:after="40"/>
            </w:pPr>
            <w:r>
              <w:rPr>
                <w:rFonts w:ascii="Calibri" w:hAnsi="Calibri"/>
                <w:color w:val="1E293B"/>
                <w:sz w:val="18"/>
              </w:rPr>
              <w:t>PASS (100%)</w:t>
            </w:r>
          </w:p>
        </w:tc>
      </w:tr>
      <w:tr>
        <w:tc>
          <w:tcPr>
            <w:tcW w:type="dxa" w:w="3600"/>
            <w:shd w:fill="F8FAFC"/>
            <w:tcMar>
              <w:top w:w="80" w:type="dxa"/>
              <w:bottom w:w="80" w:type="dxa"/>
              <w:left w:w="130" w:type="dxa"/>
              <w:right w:w="130" w:type="dxa"/>
            </w:tcMar>
          </w:tcPr>
          <w:p>
            <w:pPr>
              <w:spacing w:before="40" w:after="40"/>
            </w:pPr>
            <w:r>
              <w:rPr>
                <w:rFonts w:ascii="Calibri" w:hAnsi="Calibri"/>
                <w:b/>
                <w:color w:val="1E293B"/>
                <w:sz w:val="18"/>
              </w:rPr>
              <w:t>tests/algorithms/trust.test.js</w:t>
            </w:r>
          </w:p>
        </w:tc>
        <w:tc>
          <w:tcPr>
            <w:tcW w:type="dxa" w:w="3168"/>
            <w:shd w:fill="F8FAFC"/>
            <w:tcMar>
              <w:top w:w="80" w:type="dxa"/>
              <w:bottom w:w="80" w:type="dxa"/>
              <w:left w:w="130" w:type="dxa"/>
              <w:right w:w="130" w:type="dxa"/>
            </w:tcMar>
          </w:tcPr>
          <w:p>
            <w:pPr>
              <w:spacing w:before="40" w:after="40"/>
            </w:pPr>
            <w:r>
              <w:rPr>
                <w:rFonts w:ascii="Calibri" w:hAnsi="Calibri"/>
                <w:color w:val="1E293B"/>
                <w:sz w:val="18"/>
              </w:rPr>
              <w:t>Temporal decay, fuzzy logic inference, step-up auth</w:t>
            </w:r>
          </w:p>
        </w:tc>
        <w:tc>
          <w:tcPr>
            <w:tcW w:type="dxa" w:w="1440"/>
            <w:shd w:fill="F8FAFC"/>
            <w:tcMar>
              <w:top w:w="80" w:type="dxa"/>
              <w:bottom w:w="80" w:type="dxa"/>
              <w:left w:w="130" w:type="dxa"/>
              <w:right w:w="130" w:type="dxa"/>
            </w:tcMar>
          </w:tcPr>
          <w:p>
            <w:pPr>
              <w:spacing w:before="40" w:after="40"/>
            </w:pPr>
            <w:r>
              <w:rPr>
                <w:rFonts w:ascii="Calibri" w:hAnsi="Calibri"/>
                <w:color w:val="1E293B"/>
                <w:sz w:val="18"/>
              </w:rPr>
              <w:t>4 Tests</w:t>
            </w:r>
          </w:p>
        </w:tc>
        <w:tc>
          <w:tcPr>
            <w:tcW w:type="dxa" w:w="1872"/>
            <w:shd w:fill="F8FAFC"/>
            <w:tcMar>
              <w:top w:w="80" w:type="dxa"/>
              <w:bottom w:w="80" w:type="dxa"/>
              <w:left w:w="130" w:type="dxa"/>
              <w:right w:w="130" w:type="dxa"/>
            </w:tcMar>
          </w:tcPr>
          <w:p>
            <w:pPr>
              <w:spacing w:before="40" w:after="40"/>
            </w:pPr>
            <w:r>
              <w:rPr>
                <w:rFonts w:ascii="Calibri" w:hAnsi="Calibri"/>
                <w:color w:val="1E293B"/>
                <w:sz w:val="18"/>
              </w:rPr>
              <w:t>PASS (100%)</w:t>
            </w:r>
          </w:p>
        </w:tc>
      </w:tr>
      <w:tr>
        <w:tc>
          <w:tcPr>
            <w:tcW w:type="dxa" w:w="3600"/>
            <w:shd w:fill="FFFFFF"/>
            <w:tcMar>
              <w:top w:w="80" w:type="dxa"/>
              <w:bottom w:w="80" w:type="dxa"/>
              <w:left w:w="130" w:type="dxa"/>
              <w:right w:w="130" w:type="dxa"/>
            </w:tcMar>
          </w:tcPr>
          <w:p>
            <w:pPr>
              <w:spacing w:before="40" w:after="40"/>
            </w:pPr>
            <w:r>
              <w:rPr>
                <w:rFonts w:ascii="Calibri" w:hAnsi="Calibri"/>
                <w:b/>
                <w:color w:val="1E293B"/>
                <w:sz w:val="18"/>
              </w:rPr>
              <w:t>tests/algorithms/threat.test.js</w:t>
            </w:r>
          </w:p>
        </w:tc>
        <w:tc>
          <w:tcPr>
            <w:tcW w:type="dxa" w:w="3168"/>
            <w:shd w:fill="FFFFFF"/>
            <w:tcMar>
              <w:top w:w="80" w:type="dxa"/>
              <w:bottom w:w="80" w:type="dxa"/>
              <w:left w:w="130" w:type="dxa"/>
              <w:right w:w="130" w:type="dxa"/>
            </w:tcMar>
          </w:tcPr>
          <w:p>
            <w:pPr>
              <w:spacing w:before="40" w:after="40"/>
            </w:pPr>
            <w:r>
              <w:rPr>
                <w:rFonts w:ascii="Calibri" w:hAnsi="Calibri"/>
                <w:color w:val="1E293B"/>
                <w:sz w:val="18"/>
              </w:rPr>
              <w:t>Markov chain transitions, MITRE ATT&amp;CK DAG</w:t>
            </w:r>
          </w:p>
        </w:tc>
        <w:tc>
          <w:tcPr>
            <w:tcW w:type="dxa" w:w="1440"/>
            <w:shd w:fill="FFFFFF"/>
            <w:tcMar>
              <w:top w:w="80" w:type="dxa"/>
              <w:bottom w:w="80" w:type="dxa"/>
              <w:left w:w="130" w:type="dxa"/>
              <w:right w:w="130" w:type="dxa"/>
            </w:tcMar>
          </w:tcPr>
          <w:p>
            <w:pPr>
              <w:spacing w:before="40" w:after="40"/>
            </w:pPr>
            <w:r>
              <w:rPr>
                <w:rFonts w:ascii="Calibri" w:hAnsi="Calibri"/>
                <w:color w:val="1E293B"/>
                <w:sz w:val="18"/>
              </w:rPr>
              <w:t>4 Tests</w:t>
            </w:r>
          </w:p>
        </w:tc>
        <w:tc>
          <w:tcPr>
            <w:tcW w:type="dxa" w:w="1872"/>
            <w:shd w:fill="FFFFFF"/>
            <w:tcMar>
              <w:top w:w="80" w:type="dxa"/>
              <w:bottom w:w="80" w:type="dxa"/>
              <w:left w:w="130" w:type="dxa"/>
              <w:right w:w="130" w:type="dxa"/>
            </w:tcMar>
          </w:tcPr>
          <w:p>
            <w:pPr>
              <w:spacing w:before="40" w:after="40"/>
            </w:pPr>
            <w:r>
              <w:rPr>
                <w:rFonts w:ascii="Calibri" w:hAnsi="Calibri"/>
                <w:color w:val="1E293B"/>
                <w:sz w:val="18"/>
              </w:rPr>
              <w:t>PASS (100%)</w:t>
            </w:r>
          </w:p>
        </w:tc>
      </w:tr>
      <w:tr>
        <w:tc>
          <w:tcPr>
            <w:tcW w:type="dxa" w:w="3600"/>
            <w:shd w:fill="F8FAFC"/>
            <w:tcMar>
              <w:top w:w="80" w:type="dxa"/>
              <w:bottom w:w="80" w:type="dxa"/>
              <w:left w:w="130" w:type="dxa"/>
              <w:right w:w="130" w:type="dxa"/>
            </w:tcMar>
          </w:tcPr>
          <w:p>
            <w:pPr>
              <w:spacing w:before="40" w:after="40"/>
            </w:pPr>
            <w:r>
              <w:rPr>
                <w:rFonts w:ascii="Calibri" w:hAnsi="Calibri"/>
                <w:b/>
                <w:color w:val="1E293B"/>
                <w:sz w:val="18"/>
              </w:rPr>
              <w:t>tests/algorithms/humanRisk.test.js</w:t>
            </w:r>
          </w:p>
        </w:tc>
        <w:tc>
          <w:tcPr>
            <w:tcW w:type="dxa" w:w="3168"/>
            <w:shd w:fill="F8FAFC"/>
            <w:tcMar>
              <w:top w:w="80" w:type="dxa"/>
              <w:bottom w:w="80" w:type="dxa"/>
              <w:left w:w="130" w:type="dxa"/>
              <w:right w:w="130" w:type="dxa"/>
            </w:tcMar>
          </w:tcPr>
          <w:p>
            <w:pPr>
              <w:spacing w:before="40" w:after="40"/>
            </w:pPr>
            <w:r>
              <w:rPr>
                <w:rFonts w:ascii="Calibri" w:hAnsi="Calibri"/>
                <w:color w:val="1E293B"/>
                <w:sz w:val="18"/>
              </w:rPr>
              <w:t>Decision Tree, Logistic, Bayesian Inference</w:t>
            </w:r>
          </w:p>
        </w:tc>
        <w:tc>
          <w:tcPr>
            <w:tcW w:type="dxa" w:w="1440"/>
            <w:shd w:fill="F8FAFC"/>
            <w:tcMar>
              <w:top w:w="80" w:type="dxa"/>
              <w:bottom w:w="80" w:type="dxa"/>
              <w:left w:w="130" w:type="dxa"/>
              <w:right w:w="130" w:type="dxa"/>
            </w:tcMar>
          </w:tcPr>
          <w:p>
            <w:pPr>
              <w:spacing w:before="40" w:after="40"/>
            </w:pPr>
            <w:r>
              <w:rPr>
                <w:rFonts w:ascii="Calibri" w:hAnsi="Calibri"/>
                <w:color w:val="1E293B"/>
                <w:sz w:val="18"/>
              </w:rPr>
              <w:t>4 Tests</w:t>
            </w:r>
          </w:p>
        </w:tc>
        <w:tc>
          <w:tcPr>
            <w:tcW w:type="dxa" w:w="1872"/>
            <w:shd w:fill="F8FAFC"/>
            <w:tcMar>
              <w:top w:w="80" w:type="dxa"/>
              <w:bottom w:w="80" w:type="dxa"/>
              <w:left w:w="130" w:type="dxa"/>
              <w:right w:w="130" w:type="dxa"/>
            </w:tcMar>
          </w:tcPr>
          <w:p>
            <w:pPr>
              <w:spacing w:before="40" w:after="40"/>
            </w:pPr>
            <w:r>
              <w:rPr>
                <w:rFonts w:ascii="Calibri" w:hAnsi="Calibri"/>
                <w:color w:val="1E293B"/>
                <w:sz w:val="18"/>
              </w:rPr>
              <w:t>PASS (100%)</w:t>
            </w:r>
          </w:p>
        </w:tc>
      </w:tr>
      <w:tr>
        <w:tc>
          <w:tcPr>
            <w:tcW w:type="dxa" w:w="3600"/>
            <w:shd w:fill="FFFFFF"/>
            <w:tcMar>
              <w:top w:w="80" w:type="dxa"/>
              <w:bottom w:w="80" w:type="dxa"/>
              <w:left w:w="130" w:type="dxa"/>
              <w:right w:w="130" w:type="dxa"/>
            </w:tcMar>
          </w:tcPr>
          <w:p>
            <w:pPr>
              <w:spacing w:before="40" w:after="40"/>
            </w:pPr>
            <w:r>
              <w:rPr>
                <w:rFonts w:ascii="Calibri" w:hAnsi="Calibri"/>
                <w:b/>
                <w:color w:val="1E293B"/>
                <w:sz w:val="18"/>
              </w:rPr>
              <w:t>tests/api/api.test.js</w:t>
            </w:r>
          </w:p>
        </w:tc>
        <w:tc>
          <w:tcPr>
            <w:tcW w:type="dxa" w:w="3168"/>
            <w:shd w:fill="FFFFFF"/>
            <w:tcMar>
              <w:top w:w="80" w:type="dxa"/>
              <w:bottom w:w="80" w:type="dxa"/>
              <w:left w:w="130" w:type="dxa"/>
              <w:right w:w="130" w:type="dxa"/>
            </w:tcMar>
          </w:tcPr>
          <w:p>
            <w:pPr>
              <w:spacing w:before="40" w:after="40"/>
            </w:pPr>
            <w:r>
              <w:rPr>
                <w:rFonts w:ascii="Calibri" w:hAnsi="Calibri"/>
                <w:color w:val="1E293B"/>
                <w:sz w:val="18"/>
              </w:rPr>
              <w:t>Auth, RBAC, FIM, Telemetry DB Lock, Password Reset</w:t>
            </w:r>
          </w:p>
        </w:tc>
        <w:tc>
          <w:tcPr>
            <w:tcW w:type="dxa" w:w="1440"/>
            <w:shd w:fill="FFFFFF"/>
            <w:tcMar>
              <w:top w:w="80" w:type="dxa"/>
              <w:bottom w:w="80" w:type="dxa"/>
              <w:left w:w="130" w:type="dxa"/>
              <w:right w:w="130" w:type="dxa"/>
            </w:tcMar>
          </w:tcPr>
          <w:p>
            <w:pPr>
              <w:spacing w:before="40" w:after="40"/>
            </w:pPr>
            <w:r>
              <w:rPr>
                <w:rFonts w:ascii="Calibri" w:hAnsi="Calibri"/>
                <w:color w:val="1E293B"/>
                <w:sz w:val="18"/>
              </w:rPr>
              <w:t>16 Tests</w:t>
            </w:r>
          </w:p>
        </w:tc>
        <w:tc>
          <w:tcPr>
            <w:tcW w:type="dxa" w:w="1872"/>
            <w:shd w:fill="FFFFFF"/>
            <w:tcMar>
              <w:top w:w="80" w:type="dxa"/>
              <w:bottom w:w="80" w:type="dxa"/>
              <w:left w:w="130" w:type="dxa"/>
              <w:right w:w="130" w:type="dxa"/>
            </w:tcMar>
          </w:tcPr>
          <w:p>
            <w:pPr>
              <w:spacing w:before="40" w:after="40"/>
            </w:pPr>
            <w:r>
              <w:rPr>
                <w:rFonts w:ascii="Calibri" w:hAnsi="Calibri"/>
                <w:color w:val="1E293B"/>
                <w:sz w:val="18"/>
              </w:rPr>
              <w:t>PASS (100%)</w:t>
            </w:r>
          </w:p>
        </w:tc>
      </w:tr>
    </w:tbl>
    <w:p>
      <w:pPr>
        <w:pStyle w:val="Heading2"/>
        <w:keepNext/>
        <w:spacing w:before="280" w:after="120"/>
      </w:pPr>
      <w:r>
        <w:rPr>
          <w:b/>
          <w:color w:val="0284C7"/>
          <w:sz w:val="25"/>
        </w:rPr>
        <w:t>13.1 Production Executable Packaging Mechanics</w:t>
      </w:r>
    </w:p>
    <w:p>
      <w:pPr>
        <w:spacing w:after="120" w:line="276" w:lineRule="auto"/>
      </w:pPr>
      <w:r>
        <w:rPr>
          <w:color w:val="1E293B"/>
        </w:rPr>
        <w:t>The desktop application is compiled into a standalone Windows NSIS installer using electron-builder ('package.json' dist target). The build bundles all production native dependencies, compiles the internal Node.js backend, packages client assets, and produces a single executable installer: 'dist/NeuroShield Setup 1.0.0.exe' (84.66 MB). The installer deploys to '%LOCALAPPDATA%\Programs\NeuroShield', creates desktop shortcuts, and registers uninstaller metadata cleanly.</w:t>
      </w:r>
    </w:p>
    <w:p>
      <w:r>
        <w:br w:type="page"/>
      </w:r>
    </w:p>
    <w:p>
      <w:pPr>
        <w:pStyle w:val="Heading1"/>
        <w:keepNext/>
        <w:spacing w:before="400" w:after="160"/>
      </w:pPr>
      <w:r>
        <w:rPr>
          <w:b/>
          <w:color w:val="0A2540"/>
          <w:sz w:val="32"/>
        </w:rPr>
        <w:t>Chapter 14: Enterprise Regulatory Standards Compliance Mapping Matrix</w:t>
      </w:r>
    </w:p>
    <w:p>
      <w:pPr>
        <w:spacing w:after="120" w:line="276" w:lineRule="auto"/>
      </w:pPr>
      <w:r>
        <w:rPr>
          <w:color w:val="1E293B"/>
        </w:rPr>
        <w:t>NeuroShield is architected in direct alignment with international federal and industry cybersecurity benchmarks:</w:t>
      </w:r>
    </w:p>
    <w:tbl>
      <w:tblPr>
        <w:tblW w:type="auto" w:w="0"/>
        <w:jc w:val="center"/>
        <w:tblLook w:firstColumn="1" w:firstRow="1" w:lastColumn="0" w:lastRow="0" w:noHBand="0" w:noVBand="1" w:val="04A0"/>
      </w:tblPr>
      <w:tblGrid>
        <w:gridCol w:w="3264"/>
        <w:gridCol w:w="3264"/>
        <w:gridCol w:w="3264"/>
      </w:tblGrid>
      <w:tr>
        <w:tc>
          <w:tcPr>
            <w:tcW w:type="dxa" w:w="2592"/>
            <w:shd w:fill="0F172A"/>
            <w:tcMar>
              <w:top w:w="130" w:type="dxa"/>
              <w:bottom w:w="130" w:type="dxa"/>
              <w:left w:w="130" w:type="dxa"/>
              <w:right w:w="130" w:type="dxa"/>
            </w:tcMar>
          </w:tcPr>
          <w:p>
            <w:pPr>
              <w:spacing w:before="40" w:after="40"/>
              <w:jc w:val="left"/>
            </w:pPr>
            <w:r>
              <w:rPr>
                <w:rFonts w:ascii="Calibri" w:hAnsi="Calibri"/>
                <w:b/>
                <w:color w:val="FFFFFF"/>
                <w:sz w:val="19"/>
              </w:rPr>
              <w:t>Standard Framework</w:t>
            </w:r>
          </w:p>
        </w:tc>
        <w:tc>
          <w:tcPr>
            <w:tcW w:type="dxa" w:w="3312"/>
            <w:shd w:fill="0F172A"/>
            <w:tcMar>
              <w:top w:w="130" w:type="dxa"/>
              <w:bottom w:w="130" w:type="dxa"/>
              <w:left w:w="130" w:type="dxa"/>
              <w:right w:w="130" w:type="dxa"/>
            </w:tcMar>
          </w:tcPr>
          <w:p>
            <w:pPr>
              <w:spacing w:before="40" w:after="40"/>
              <w:jc w:val="left"/>
            </w:pPr>
            <w:r>
              <w:rPr>
                <w:rFonts w:ascii="Calibri" w:hAnsi="Calibri"/>
                <w:b/>
                <w:color w:val="FFFFFF"/>
                <w:sz w:val="19"/>
              </w:rPr>
              <w:t>Mandated Control Requirement</w:t>
            </w:r>
          </w:p>
        </w:tc>
        <w:tc>
          <w:tcPr>
            <w:tcW w:type="dxa" w:w="4176"/>
            <w:shd w:fill="0F172A"/>
            <w:tcMar>
              <w:top w:w="130" w:type="dxa"/>
              <w:bottom w:w="130" w:type="dxa"/>
              <w:left w:w="130" w:type="dxa"/>
              <w:right w:w="130" w:type="dxa"/>
            </w:tcMar>
          </w:tcPr>
          <w:p>
            <w:pPr>
              <w:spacing w:before="40" w:after="40"/>
              <w:jc w:val="left"/>
            </w:pPr>
            <w:r>
              <w:rPr>
                <w:rFonts w:ascii="Calibri" w:hAnsi="Calibri"/>
                <w:b/>
                <w:color w:val="FFFFFF"/>
                <w:sz w:val="19"/>
              </w:rPr>
              <w:t>NeuroShield Technical Implementation</w:t>
            </w:r>
          </w:p>
        </w:tc>
      </w:tr>
      <w:tr>
        <w:tc>
          <w:tcPr>
            <w:tcW w:type="dxa" w:w="2592"/>
            <w:shd w:fill="FFFFFF"/>
            <w:tcMar>
              <w:top w:w="80" w:type="dxa"/>
              <w:bottom w:w="80" w:type="dxa"/>
              <w:left w:w="130" w:type="dxa"/>
              <w:right w:w="130" w:type="dxa"/>
            </w:tcMar>
          </w:tcPr>
          <w:p>
            <w:pPr>
              <w:spacing w:before="40" w:after="40"/>
            </w:pPr>
            <w:r>
              <w:rPr>
                <w:rFonts w:ascii="Calibri" w:hAnsi="Calibri"/>
                <w:b/>
                <w:color w:val="1E293B"/>
                <w:sz w:val="18"/>
              </w:rPr>
              <w:t>NIST SP 800-207</w:t>
            </w:r>
          </w:p>
        </w:tc>
        <w:tc>
          <w:tcPr>
            <w:tcW w:type="dxa" w:w="3312"/>
            <w:shd w:fill="FFFFFF"/>
            <w:tcMar>
              <w:top w:w="80" w:type="dxa"/>
              <w:bottom w:w="80" w:type="dxa"/>
              <w:left w:w="130" w:type="dxa"/>
              <w:right w:w="130" w:type="dxa"/>
            </w:tcMar>
          </w:tcPr>
          <w:p>
            <w:pPr>
              <w:spacing w:before="40" w:after="40"/>
            </w:pPr>
            <w:r>
              <w:rPr>
                <w:rFonts w:ascii="Calibri" w:hAnsi="Calibri"/>
                <w:color w:val="1E293B"/>
                <w:sz w:val="18"/>
              </w:rPr>
              <w:t>Zero Trust Architecture (Control 3.1)</w:t>
            </w:r>
          </w:p>
        </w:tc>
        <w:tc>
          <w:tcPr>
            <w:tcW w:type="dxa" w:w="4176"/>
            <w:shd w:fill="FFFFFF"/>
            <w:tcMar>
              <w:top w:w="80" w:type="dxa"/>
              <w:bottom w:w="80" w:type="dxa"/>
              <w:left w:w="130" w:type="dxa"/>
              <w:right w:w="130" w:type="dxa"/>
            </w:tcMar>
          </w:tcPr>
          <w:p>
            <w:pPr>
              <w:spacing w:before="40" w:after="40"/>
            </w:pPr>
            <w:r>
              <w:rPr>
                <w:rFonts w:ascii="Calibri" w:hAnsi="Calibri"/>
                <w:color w:val="1E293B"/>
                <w:sz w:val="18"/>
              </w:rPr>
              <w:t>Continuous Trust Score evaluation; no implicit trust granted to authenticated sessions.</w:t>
            </w:r>
          </w:p>
        </w:tc>
      </w:tr>
      <w:tr>
        <w:tc>
          <w:tcPr>
            <w:tcW w:type="dxa" w:w="2592"/>
            <w:shd w:fill="F8FAFC"/>
            <w:tcMar>
              <w:top w:w="80" w:type="dxa"/>
              <w:bottom w:w="80" w:type="dxa"/>
              <w:left w:w="130" w:type="dxa"/>
              <w:right w:w="130" w:type="dxa"/>
            </w:tcMar>
          </w:tcPr>
          <w:p>
            <w:pPr>
              <w:spacing w:before="40" w:after="40"/>
            </w:pPr>
            <w:r>
              <w:rPr>
                <w:rFonts w:ascii="Calibri" w:hAnsi="Calibri"/>
                <w:b/>
                <w:color w:val="1E293B"/>
                <w:sz w:val="18"/>
              </w:rPr>
              <w:t>NIST SP 800-128</w:t>
            </w:r>
          </w:p>
        </w:tc>
        <w:tc>
          <w:tcPr>
            <w:tcW w:type="dxa" w:w="3312"/>
            <w:shd w:fill="F8FAFC"/>
            <w:tcMar>
              <w:top w:w="80" w:type="dxa"/>
              <w:bottom w:w="80" w:type="dxa"/>
              <w:left w:w="130" w:type="dxa"/>
              <w:right w:w="130" w:type="dxa"/>
            </w:tcMar>
          </w:tcPr>
          <w:p>
            <w:pPr>
              <w:spacing w:before="40" w:after="40"/>
            </w:pPr>
            <w:r>
              <w:rPr>
                <w:rFonts w:ascii="Calibri" w:hAnsi="Calibri"/>
                <w:color w:val="1E293B"/>
                <w:sz w:val="18"/>
              </w:rPr>
              <w:t>Security Configuration &amp; FIM (CM-3, CM-5)</w:t>
            </w:r>
          </w:p>
        </w:tc>
        <w:tc>
          <w:tcPr>
            <w:tcW w:type="dxa" w:w="4176"/>
            <w:shd w:fill="F8FAFC"/>
            <w:tcMar>
              <w:top w:w="80" w:type="dxa"/>
              <w:bottom w:w="80" w:type="dxa"/>
              <w:left w:w="130" w:type="dxa"/>
              <w:right w:w="130" w:type="dxa"/>
            </w:tcMar>
          </w:tcPr>
          <w:p>
            <w:pPr>
              <w:spacing w:before="40" w:after="40"/>
            </w:pPr>
            <w:r>
              <w:rPr>
                <w:rFonts w:ascii="Calibri" w:hAnsi="Calibri"/>
                <w:color w:val="1E293B"/>
                <w:sz w:val="18"/>
              </w:rPr>
              <w:t>Automated Canary Vault with SHA-256 baselining and sub-100ms tamper detection.</w:t>
            </w:r>
          </w:p>
        </w:tc>
      </w:tr>
      <w:tr>
        <w:tc>
          <w:tcPr>
            <w:tcW w:type="dxa" w:w="2592"/>
            <w:shd w:fill="FFFFFF"/>
            <w:tcMar>
              <w:top w:w="80" w:type="dxa"/>
              <w:bottom w:w="80" w:type="dxa"/>
              <w:left w:w="130" w:type="dxa"/>
              <w:right w:w="130" w:type="dxa"/>
            </w:tcMar>
          </w:tcPr>
          <w:p>
            <w:pPr>
              <w:spacing w:before="40" w:after="40"/>
            </w:pPr>
            <w:r>
              <w:rPr>
                <w:rFonts w:ascii="Calibri" w:hAnsi="Calibri"/>
                <w:b/>
                <w:color w:val="1E293B"/>
                <w:sz w:val="18"/>
              </w:rPr>
              <w:t>CIS Controls v8</w:t>
            </w:r>
          </w:p>
        </w:tc>
        <w:tc>
          <w:tcPr>
            <w:tcW w:type="dxa" w:w="3312"/>
            <w:shd w:fill="FFFFFF"/>
            <w:tcMar>
              <w:top w:w="80" w:type="dxa"/>
              <w:bottom w:w="80" w:type="dxa"/>
              <w:left w:w="130" w:type="dxa"/>
              <w:right w:w="130" w:type="dxa"/>
            </w:tcMar>
          </w:tcPr>
          <w:p>
            <w:pPr>
              <w:spacing w:before="40" w:after="40"/>
            </w:pPr>
            <w:r>
              <w:rPr>
                <w:rFonts w:ascii="Calibri" w:hAnsi="Calibri"/>
                <w:color w:val="1E293B"/>
                <w:sz w:val="18"/>
              </w:rPr>
              <w:t>Control 6: Access Control Management</w:t>
            </w:r>
          </w:p>
        </w:tc>
        <w:tc>
          <w:tcPr>
            <w:tcW w:type="dxa" w:w="4176"/>
            <w:shd w:fill="FFFFFF"/>
            <w:tcMar>
              <w:top w:w="80" w:type="dxa"/>
              <w:bottom w:w="80" w:type="dxa"/>
              <w:left w:w="130" w:type="dxa"/>
              <w:right w:w="130" w:type="dxa"/>
            </w:tcMar>
          </w:tcPr>
          <w:p>
            <w:pPr>
              <w:spacing w:before="40" w:after="40"/>
            </w:pPr>
            <w:r>
              <w:rPr>
                <w:rFonts w:ascii="Calibri" w:hAnsi="Calibri"/>
                <w:color w:val="1E293B"/>
                <w:sz w:val="18"/>
              </w:rPr>
              <w:t>Dynamic Risk-Based Authentication (RBA) with stepped-up verification tiers.</w:t>
            </w:r>
          </w:p>
        </w:tc>
      </w:tr>
      <w:tr>
        <w:tc>
          <w:tcPr>
            <w:tcW w:type="dxa" w:w="2592"/>
            <w:shd w:fill="F8FAFC"/>
            <w:tcMar>
              <w:top w:w="80" w:type="dxa"/>
              <w:bottom w:w="80" w:type="dxa"/>
              <w:left w:w="130" w:type="dxa"/>
              <w:right w:w="130" w:type="dxa"/>
            </w:tcMar>
          </w:tcPr>
          <w:p>
            <w:pPr>
              <w:spacing w:before="40" w:after="40"/>
            </w:pPr>
            <w:r>
              <w:rPr>
                <w:rFonts w:ascii="Calibri" w:hAnsi="Calibri"/>
                <w:b/>
                <w:color w:val="1E293B"/>
                <w:sz w:val="18"/>
              </w:rPr>
              <w:t>CIS Controls v8</w:t>
            </w:r>
          </w:p>
        </w:tc>
        <w:tc>
          <w:tcPr>
            <w:tcW w:type="dxa" w:w="3312"/>
            <w:shd w:fill="F8FAFC"/>
            <w:tcMar>
              <w:top w:w="80" w:type="dxa"/>
              <w:bottom w:w="80" w:type="dxa"/>
              <w:left w:w="130" w:type="dxa"/>
              <w:right w:w="130" w:type="dxa"/>
            </w:tcMar>
          </w:tcPr>
          <w:p>
            <w:pPr>
              <w:spacing w:before="40" w:after="40"/>
            </w:pPr>
            <w:r>
              <w:rPr>
                <w:rFonts w:ascii="Calibri" w:hAnsi="Calibri"/>
                <w:color w:val="1E293B"/>
                <w:sz w:val="18"/>
              </w:rPr>
              <w:t>Control 10: Malware Defenses</w:t>
            </w:r>
          </w:p>
        </w:tc>
        <w:tc>
          <w:tcPr>
            <w:tcW w:type="dxa" w:w="4176"/>
            <w:shd w:fill="F8FAFC"/>
            <w:tcMar>
              <w:top w:w="80" w:type="dxa"/>
              <w:bottom w:w="80" w:type="dxa"/>
              <w:left w:w="130" w:type="dxa"/>
              <w:right w:w="130" w:type="dxa"/>
            </w:tcMar>
          </w:tcPr>
          <w:p>
            <w:pPr>
              <w:spacing w:before="40" w:after="40"/>
            </w:pPr>
            <w:r>
              <w:rPr>
                <w:rFonts w:ascii="Calibri" w:hAnsi="Calibri"/>
                <w:color w:val="1E293B"/>
                <w:sz w:val="18"/>
              </w:rPr>
              <w:t>Continuous behavioral biometric anomaly detection isolating compromised hosts.</w:t>
            </w:r>
          </w:p>
        </w:tc>
      </w:tr>
      <w:tr>
        <w:tc>
          <w:tcPr>
            <w:tcW w:type="dxa" w:w="2592"/>
            <w:shd w:fill="FFFFFF"/>
            <w:tcMar>
              <w:top w:w="80" w:type="dxa"/>
              <w:bottom w:w="80" w:type="dxa"/>
              <w:left w:w="130" w:type="dxa"/>
              <w:right w:w="130" w:type="dxa"/>
            </w:tcMar>
          </w:tcPr>
          <w:p>
            <w:pPr>
              <w:spacing w:before="40" w:after="40"/>
            </w:pPr>
            <w:r>
              <w:rPr>
                <w:rFonts w:ascii="Calibri" w:hAnsi="Calibri"/>
                <w:b/>
                <w:color w:val="1E293B"/>
                <w:sz w:val="18"/>
              </w:rPr>
              <w:t>MITRE ATT&amp;CK</w:t>
            </w:r>
          </w:p>
        </w:tc>
        <w:tc>
          <w:tcPr>
            <w:tcW w:type="dxa" w:w="3312"/>
            <w:shd w:fill="FFFFFF"/>
            <w:tcMar>
              <w:top w:w="80" w:type="dxa"/>
              <w:bottom w:w="80" w:type="dxa"/>
              <w:left w:w="130" w:type="dxa"/>
              <w:right w:w="130" w:type="dxa"/>
            </w:tcMar>
          </w:tcPr>
          <w:p>
            <w:pPr>
              <w:spacing w:before="40" w:after="40"/>
            </w:pPr>
            <w:r>
              <w:rPr>
                <w:rFonts w:ascii="Calibri" w:hAnsi="Calibri"/>
                <w:color w:val="1E293B"/>
                <w:sz w:val="18"/>
              </w:rPr>
              <w:t>Adversary Tactic &amp; Technique Mapping</w:t>
            </w:r>
          </w:p>
        </w:tc>
        <w:tc>
          <w:tcPr>
            <w:tcW w:type="dxa" w:w="4176"/>
            <w:shd w:fill="FFFFFF"/>
            <w:tcMar>
              <w:top w:w="80" w:type="dxa"/>
              <w:bottom w:w="80" w:type="dxa"/>
              <w:left w:w="130" w:type="dxa"/>
              <w:right w:w="130" w:type="dxa"/>
            </w:tcMar>
          </w:tcPr>
          <w:p>
            <w:pPr>
              <w:spacing w:before="40" w:after="40"/>
            </w:pPr>
            <w:r>
              <w:rPr>
                <w:rFonts w:ascii="Calibri" w:hAnsi="Calibri"/>
                <w:color w:val="1E293B"/>
                <w:sz w:val="18"/>
              </w:rPr>
              <w:t>Interactive DAG attack graph modeling lateral killchain propagation probabilities.</w:t>
            </w:r>
          </w:p>
        </w:tc>
      </w:tr>
    </w:tbl>
    <w:tbl>
      <w:tblPr>
        <w:tblW w:type="auto" w:w="0"/>
        <w:jc w:val="center"/>
        <w:tblLook w:firstColumn="1" w:firstRow="1" w:lastColumn="0" w:lastRow="0" w:noHBand="0" w:noVBand="1" w:val="04A0"/>
      </w:tblPr>
      <w:tblGrid>
        <w:gridCol w:w="9792"/>
      </w:tblGrid>
      <w:tr>
        <w:tc>
          <w:tcPr>
            <w:tcW w:type="dxa" w:w="9792"/>
            <w:shd w:fill="F0FDF4"/>
            <w:tcMar>
              <w:top w:w="130" w:type="dxa"/>
              <w:bottom w:w="130" w:type="dxa"/>
              <w:left w:w="180" w:type="dxa"/>
              <w:right w:w="180" w:type="dxa"/>
            </w:tcMar>
            <w:tcBorders>
              <w:top w:val="none"/>
              <w:left w:val="single" w:sz="24" w:space="0" w:color="16A34A"/>
              <w:bottom w:val="none"/>
              <w:right w:val="none"/>
            </w:tcBorders>
          </w:tcPr>
          <w:p>
            <w:pPr>
              <w:spacing w:before="60" w:after="60"/>
            </w:pPr>
            <w:r>
              <w:rPr>
                <w:rFonts w:ascii="Calibri" w:hAnsi="Calibri"/>
                <w:b/>
                <w:color w:val="0F172A"/>
                <w:sz w:val="21"/>
              </w:rPr>
              <w:t>[FINAL ARCHITECTURAL VERIFICATION]</w:t>
              <w:br/>
            </w:r>
            <w:r>
              <w:rPr>
                <w:rFonts w:ascii="Calibri" w:hAnsi="Calibri"/>
                <w:color w:val="334155"/>
                <w:sz w:val="19"/>
              </w:rPr>
              <w:t>NeuroShield delivers a complete, production-grade continuous defense terminal. By uniting involuntary human biometrics, continuous trust decay, predictive threat modeling, dynamic deception, and cryptographic file integrity monitoring, it represents the next generation of host cybersecurity architecture.</w:t>
            </w:r>
          </w:p>
        </w:tc>
      </w:tr>
    </w:tbl>
    <w:p>
      <w:pPr>
        <w:spacing w:after="80"/>
      </w:pP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