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sz w:val="34"/>
          <w:szCs w:val="34"/>
        </w:rPr>
        <w:t xml:space="preserve">Retention Strategy for Falcon Bank UAE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Findings and recommendations from Project Wafa</w:t>
      </w:r>
    </w:p>
    <w:p>
      <w:pPr>
        <w:spacing w:after="200"/>
        <w:jc w:val="center"/>
      </w:pPr>
      <w:r>
        <w:rPr>
          <w:color w:val="555555"/>
          <w:sz w:val="16"/>
          <w:szCs w:val="16"/>
        </w:rPr>
        <w:t xml:space="preserve">Prepared for the Chief Customer Officer · MAIB AI 115 Final Group Project · July 2026 — Dhote · Patel · Soundekar · Malankar · Chitale · Dalvi · Darshit · Devarkonda · Baid</w:t>
      </w:r>
    </w:p>
    <w:p>
      <w:pPr>
        <w:pStyle w:val="Heading1"/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AED 5.46M of the AED 19.9M customer-lifetime-value book — 27% — sits with customers the churn model flags as at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That value is concentrated: 85% of at-risk CLV belongs to just 28 Premium and Private customers. </w:t>
      </w:r>
      <w:r>
        <w:rPr>
          <w:b/>
          <w:bCs/>
          <w:sz w:val="20"/>
          <w:szCs w:val="20"/>
        </w:rPr>
        <w:t xml:space="preserve">Eighteen people can cover 28 phone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Behaviour data alone is a lagging indicator: 75% of the messages expressing clear leaving intent came from customers whose behaviour still looked calm. </w:t>
      </w:r>
      <w:r>
        <w:rPr>
          <w:b/>
          <w:bCs/>
          <w:sz w:val="20"/>
          <w:szCs w:val="20"/>
        </w:rPr>
        <w:t xml:space="preserve">The inbox is the early-warning system — if we can read it in four languages.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Project Wafa triages every message in seconds — language, issue, churn intent, recommended action, drafted reply — with a human approving every send and every decision audit-logged.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Customers confirmed to be leaving get a dignified goodbye, never retention pressure. In a shrinking market, the expatriate who leaves respected is the one who returns — and refers.</w:t>
      </w:r>
    </w:p>
    <w:p>
      <w:pPr>
        <w:pStyle w:val="Heading1"/>
      </w:pPr>
      <w:r>
        <w:t xml:space="preserve">1. What the data says</w:t>
      </w:r>
    </w:p>
    <w:p>
      <w:pPr>
        <w:spacing w:after="110"/>
      </w:pPr>
      <w:r>
        <w:rPr>
          <w:b/>
          <w:bCs/>
          <w:sz w:val="20"/>
          <w:szCs w:val="20"/>
        </w:rPr>
        <w:t xml:space="preserve">Behaviour: </w:t>
      </w:r>
      <w:r>
        <w:rPr>
          <w:sz w:val="20"/>
          <w:szCs w:val="20"/>
        </w:rPr>
        <w:t xml:space="preserve">the churn model's strongest drivers are exactly the CCO's instincts, now quantified: a draining 3-month balance trend, stopped salary credits, and a spike in international transfers. Historical churn in the sample book is 29% (69 of 240 customers).</w:t>
      </w:r>
    </w:p>
    <w:p>
      <w:pPr>
        <w:spacing w:after="110"/>
      </w:pPr>
      <w:r>
        <w:rPr>
          <w:b/>
          <w:bCs/>
          <w:sz w:val="20"/>
          <w:szCs w:val="20"/>
        </w:rPr>
        <w:t xml:space="preserve">Voice of the customer: </w:t>
      </w:r>
      <w:r>
        <w:rPr>
          <w:sz w:val="20"/>
          <w:szCs w:val="20"/>
        </w:rPr>
        <w:t xml:space="preserve">45% of the 252 sampled messages are not in English. A third carry a High churn signal — and those leavers write about everything: fees, cards, OTP failures and loan worries in equal measure, not just account closures. </w:t>
      </w:r>
      <w:r>
        <w:rPr>
          <w:b/>
          <w:bCs/>
          <w:sz w:val="20"/>
          <w:szCs w:val="20"/>
        </w:rPr>
        <w:t xml:space="preserve">Every service queue is a retention queue.</w:t>
      </w:r>
    </w:p>
    <w:p>
      <w:pPr>
        <w:spacing w:after="110"/>
      </w:pPr>
      <w:r>
        <w:rPr>
          <w:b/>
          <w:bCs/>
          <w:sz w:val="20"/>
          <w:szCs w:val="20"/>
        </w:rPr>
        <w:t xml:space="preserve">Why fusion matters: </w:t>
      </w:r>
      <w:r>
        <w:rPr>
          <w:sz w:val="20"/>
          <w:szCs w:val="20"/>
        </w:rPr>
        <w:t xml:space="preserve">of 84 high-intent messages, 63 (75%) came from customers whose behaviour-based risk score was under 35% — invisible to any system watching balances alone. The reverse also holds: quiet customers whose salaries stop never write in. Only the fused view sees both populations.</w:t>
      </w:r>
    </w:p>
    <w:p>
      <w:pPr>
        <w:pStyle w:val="Heading1"/>
      </w:pPr>
      <w:r>
        <w:t xml:space="preserve">2. Segment risk and the play for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1450"/>
        <w:gridCol w:w="950"/>
        <w:gridCol w:w="1750"/>
        <w:gridCol w:w="2910"/>
      </w:tblGrid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Segment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Customers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Avg CLV (AED)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 risk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CLV at risk (AED)</w:t>
            </w:r>
          </w:p>
        </w:tc>
        <w:tc>
          <w:tcPr>
            <w:tcW w:type="dxa" w:w="2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The play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Mass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24,059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829,742</w:t>
            </w:r>
          </w:p>
        </w:tc>
        <w:tc>
          <w:tcPr>
            <w:tcW w:type="dxa" w:w="2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Automated: fee waivers ≤ 2% of CLV, priority service fixes, drafted in the customer's language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92,403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2,302,983</w:t>
            </w:r>
          </w:p>
        </w:tc>
        <w:tc>
          <w:tcPr>
            <w:tcW w:type="dxa" w:w="2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Relationship-manager call within one working day; platform pre-briefs the RM with the why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Private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467,892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2,330,873</w:t>
            </w:r>
          </w:p>
        </w:tc>
        <w:tc>
          <w:tcPr>
            <w:tcW w:type="dxa" w:w="2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Named senior ownership immediately — five conversations protect AED 2.3M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>Offer economics are enforced in code: no monetary offer may exceed 2% of the customer's lifetime value; above that, the rule downgrades to a call. We never spend more retaining a customer than the relationship is worth.</w:t>
      </w:r>
    </w:p>
    <w:p>
      <w:pPr>
        <w:pStyle w:val="Heading1"/>
      </w:pPr>
      <w:r>
        <w:t xml:space="preserve">3. What the platform changes operationally</w:t>
      </w:r>
    </w:p>
    <w:p>
      <w:pPr>
        <w:spacing w:after="110"/>
      </w:pPr>
      <w:r>
        <w:rPr>
          <w:sz w:val="20"/>
          <w:szCs w:val="20"/>
        </w:rPr>
        <w:t xml:space="preserve">Manual triage of a multilingual inbox — read, translate, judge intent, decide, draft — costs roughly 10 minutes per message; 252 messages is a full agent-week. With Wafa, triage is instant and the human role shrinks to reviewing a pre-drafted action (~1 minute): the same inbox takes about four hours. </w:t>
      </w:r>
      <w:r>
        <w:rPr>
          <w:b/>
          <w:bCs/>
          <w:sz w:val="20"/>
          <w:szCs w:val="20"/>
        </w:rPr>
        <w:t xml:space="preserve">For an 18-person team, that converts roughly one FTE of translation-and-triage into proactive retention calls to the 28 customers who matter most.</w:t>
      </w:r>
    </w:p>
    <w:p>
      <w:pPr>
        <w:spacing w:after="110"/>
      </w:pPr>
      <w:r>
        <w:rPr>
          <w:sz w:val="20"/>
          <w:szCs w:val="20"/>
        </w:rPr>
        <w:t xml:space="preserve">Every automated decision is explainable (the rules that fired are listed line by line), every draft is approved by a person, and both are recorded in an append-only audit log — the operational posture a bank's risk function will actually sign off on.</w:t>
      </w:r>
    </w:p>
    <w:p>
      <w:pPr>
        <w:pStyle w:val="Heading1"/>
      </w:pPr>
      <w:r>
        <w:t xml:space="preserve">4. The evidence, honestly</w:t>
      </w:r>
    </w:p>
    <w:p>
      <w:pPr>
        <w:spacing w:after="80"/>
      </w:pPr>
      <w:r>
        <w:rPr>
          <w:sz w:val="20"/>
          <w:szCs w:val="20"/>
        </w:rPr>
        <w:t xml:space="preserve">Two classifiers were trained by the team (a from-scratch LSTM and a fine-tuned DistilmBERT) and compared with a zero-shot prompted LLM. Because the project data is template-generated, random-split scores are near-perfect for any competent model; we therefore also built an unseen-template test set with entirely new phrasings. Those are the numbers we stand behind: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550"/>
        <w:gridCol w:w="1550"/>
        <w:gridCol w:w="1550"/>
        <w:gridCol w:w="1550"/>
      </w:tblGrid>
      <w:t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Held-out: issue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Held-out: signal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Unseen: issue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Unseen: signal</w:t>
            </w:r>
          </w:p>
        </w:tc>
      </w:tr>
      <w:t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lstm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98%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heuristic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finetuned distilmbert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98%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56%</w:t>
            </w:r>
          </w:p>
        </w:tc>
      </w:tr>
      <w:t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zeroshot qwen2.5 0.5b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36%</w:t>
            </w:r>
          </w:p>
        </w:tc>
      </w:tr>
    </w:tbl>
    <w:p>
      <w:pPr>
        <w:spacing w:after="80"/>
      </w:pPr>
      <w:r>
        <w:rPr>
          <w:b/>
          <w:bCs/>
          <w:sz w:val="20"/>
          <w:szCs w:val="20"/>
        </w:rPr>
        <w:t xml:space="preserve">Reading the table honestly: </w:t>
      </w:r>
      <w:r>
        <w:rPr>
          <w:sz w:val="20"/>
          <w:szCs w:val="20"/>
        </w:rPr>
        <w:t xml:space="preserve">the held-out column flatters every model; the unseen column is the truth. The from-scratch LSTM largely memorized templates (100% collapsing to ~32%), while the fine-tuned multilingual transformer generalizes best — its pretrained representations transfer to phrasings it never saw (against chance baselines of 14% for issue and 33% for signal). The zero-shot prompted LLM loses to every trained model on both sets: at this scale, prompting is not a substitute for training. None of these numbers justify autonomy, which is why every decision passes a human — and the path to better numbers is known: train on a broader template pool, exactly what the extended generator enables.</w:t>
      </w:r>
    </w:p>
    <w:p>
      <w:pPr>
        <w:spacing w:after="60"/>
      </w:pPr>
      <w:r>
        <w:rPr>
          <w:sz w:val="20"/>
          <w:szCs w:val="20"/>
        </w:rPr>
        <w:t xml:space="preserve">Known limitations, stated plainly: the data is synthetic; message-to-customer linkage is simulated; churn drivers were planted by the generator (hence near-perfect propensity scores — real-world AUC will be materially lower); romanized Hindi is the weakest language for all models and is flagged for human triage at low confidence. The fairness audit confirms predicted risk does not proxy nationality — nationality is excluded from the model and used only to audit outcomes.</w:t>
      </w:r>
    </w:p>
    <w:p>
      <w:pPr>
        <w:pStyle w:val="Heading1"/>
      </w:pPr>
      <w:r>
        <w:t xml:space="preserve">5.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Deploy Wafa in the triage line now, in shadow mode for two weeks: agents see its output next to their manual process; measure agreement and time saved.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Stand up the segment plays above; give the five at-risk Private customers named senior owners this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Start collecting real outcome labels (saved / left after outreach) from day one — the propensity model's honest accuracy on real data depends on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Upgrade outreach to the customer's own language at quality: Qwen2.5-1.5B on one GPU workstation, with the same guardrails and human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Track a new KPI for the dignified-goodbye pathway: returned-customer and referral rate of well-departed expatriates over 24 months. Loyalty runs both ways — that is the bet, and it should be measured.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2026-07-09T16:48:14.795Z</dcterms:created>
  <dcterms:modified xsi:type="dcterms:W3CDTF">2026-07-09T16:48:14.795Z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