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Structural Model Summary</w:t>
      </w:r>
    </w:p>
    <w:p>
      <w:pPr>
        <w:pStyle w:val="Heading2"/>
      </w:pPr>
      <w:r>
        <w:t>Goal</w:t>
      </w:r>
    </w:p>
    <w:p>
      <w:r>
        <w:t>Make rental tax pass-through respond to market tightness (vacancy) and demand elasticity, rather than treating it as a fixed coefficient.</w:t>
      </w:r>
    </w:p>
    <w:p>
      <w:pPr>
        <w:pStyle w:val="Heading2"/>
      </w:pPr>
      <w:r>
        <w:t>Definitions</w:t>
      </w:r>
    </w:p>
    <w:p>
      <w:pPr>
        <w:pStyle w:val="ListBullet"/>
      </w:pPr>
      <w:r>
        <w:t>dTax_rent: incremental effective tax rate on rental properties (e.g., 0.002 = +0.20%)</w:t>
      </w:r>
    </w:p>
    <w:p>
      <w:pPr>
        <w:pStyle w:val="ListBullet"/>
      </w:pPr>
      <w:r>
        <w:t>Vac_t: vacancy rate at time t (proxy for market tightness)</w:t>
      </w:r>
    </w:p>
    <w:p>
      <w:pPr>
        <w:pStyle w:val="ListBullet"/>
      </w:pPr>
      <w:r>
        <w:t>ε_d: demand elasticity (higher means renters are more price-sensitive)</w:t>
      </w:r>
    </w:p>
    <w:p>
      <w:pPr>
        <w:pStyle w:val="ListBullet"/>
      </w:pPr>
      <w:r>
        <w:t>φ_t: pass-through rate (bounded 0 to 1)</w:t>
      </w:r>
    </w:p>
    <w:p>
      <w:pPr>
        <w:pStyle w:val="Heading2"/>
      </w:pPr>
      <w:r>
        <w:t>Pass-Through Function</w:t>
      </w:r>
    </w:p>
    <w:p>
      <w:r>
        <w:t>We model pass-through as a bounded function of vacancy and demand elasticity:</w:t>
      </w:r>
    </w:p>
    <w:p>
      <w:pPr>
        <w:jc w:val="center"/>
      </w:pPr>
      <w:r>
        <w:rPr>
          <w:rFonts w:ascii="Cambria Math" w:hAnsi="Cambria Math"/>
          <w:sz w:val="24"/>
        </w:rPr>
        <w:t>φ_t = clamp( φ0 + φ1 · (Vac_target − Vac_t) − φ2 · ε_d , 0, 1 )</w:t>
      </w:r>
    </w:p>
    <w:p>
      <w:r>
        <w:t>Where:</w:t>
      </w:r>
    </w:p>
    <w:p>
      <w:pPr>
        <w:pStyle w:val="ListBullet"/>
      </w:pPr>
      <w:r>
        <w:t>φ0: base pass-through rate</w:t>
      </w:r>
    </w:p>
    <w:p>
      <w:pPr>
        <w:pStyle w:val="ListBullet"/>
      </w:pPr>
      <w:r>
        <w:t>φ1 &gt; 0 increases pass-through when vacancy is below target (tight market)</w:t>
      </w:r>
    </w:p>
    <w:p>
      <w:pPr>
        <w:pStyle w:val="ListBullet"/>
      </w:pPr>
      <w:r>
        <w:t>φ2 &gt; 0 reduces pass-through when demand is more elastic</w:t>
      </w:r>
    </w:p>
    <w:p>
      <w:pPr>
        <w:pStyle w:val="ListBullet"/>
      </w:pPr>
      <w:r>
        <w:t>Vac_target: reference vacancy rate (e.g., 5%)</w:t>
      </w:r>
    </w:p>
    <w:p>
      <w:pPr>
        <w:pStyle w:val="Heading2"/>
      </w:pPr>
      <w:r>
        <w:t>Updated Rent Growth Equation</w:t>
      </w:r>
    </w:p>
    <w:p>
      <w:r>
        <w:t>Replace the fixed tax term with an endogenous pass-through term:</w:t>
      </w:r>
    </w:p>
    <w:p>
      <w:pPr>
        <w:jc w:val="center"/>
      </w:pPr>
      <w:r>
        <w:rPr>
          <w:rFonts w:ascii="Cambria Math" w:hAnsi="Cambria Math"/>
          <w:sz w:val="24"/>
        </w:rPr>
        <w:t>log(R_t / R_{t−1}) = a0 + a1·log(H_t / H_{t−1}) + a2·log(Pop_t / Pop_{t−1}) + a3·(φ_t · dTax_rent) + a4·Vac_{t−1}</w:t>
      </w:r>
    </w:p>
    <w:p>
      <w:pPr>
        <w:pStyle w:val="Heading2"/>
      </w:pPr>
      <w:r>
        <w:t>Interpretation</w:t>
      </w:r>
    </w:p>
    <w:p>
      <w:pPr>
        <w:pStyle w:val="ListBullet"/>
      </w:pPr>
      <w:r>
        <w:t>If vacancy is low, φ_t rises and more of the tax increase is passed to renters.</w:t>
      </w:r>
    </w:p>
    <w:p>
      <w:pPr>
        <w:pStyle w:val="ListBullet"/>
      </w:pPr>
      <w:r>
        <w:t>If demand is more elastic, φ_t falls and pass-through is muted.</w:t>
      </w:r>
    </w:p>
    <w:p>
      <w:pPr>
        <w:pStyle w:val="Heading2"/>
      </w:pPr>
      <w:r>
        <w:t>Assumptions and Limitations</w:t>
      </w:r>
    </w:p>
    <w:p>
      <w:pPr>
        <w:pStyle w:val="ListBullet"/>
      </w:pPr>
      <w:r>
        <w:t>Statewide aggregation masks local heterogeneity in vacancy, rents, and zoning.</w:t>
      </w:r>
    </w:p>
    <w:p>
      <w:pPr>
        <w:pStyle w:val="ListBullet"/>
      </w:pPr>
      <w:r>
        <w:t>Vacancy is proxied using available data; if ACS is missing, a rental vacancy proxy is used.</w:t>
      </w:r>
    </w:p>
    <w:p>
      <w:pPr>
        <w:pStyle w:val="ListBullet"/>
      </w:pPr>
      <w:r>
        <w:t>Demand elasticity is treated as a fixed parameter rather than estimated from microdata.</w:t>
      </w:r>
    </w:p>
    <w:p>
      <w:pPr>
        <w:pStyle w:val="ListBullet"/>
      </w:pPr>
      <w:r>
        <w:t>Pass-through is bounded in [0, 1] and does not model landlord exit or conversion decisions.</w:t>
      </w:r>
    </w:p>
    <w:p>
      <w:pPr>
        <w:pStyle w:val="ListBullet"/>
      </w:pPr>
      <w:r>
        <w:t>Upzoning is represented as a percentage uplift to completions rather than parcel-level capacity.</w:t>
      </w:r>
    </w:p>
    <w:p>
      <w:pPr>
        <w:pStyle w:val="Heading2"/>
      </w:pPr>
      <w:r>
        <w:t>Calibration Guidance (Small Data)</w:t>
      </w:r>
    </w:p>
    <w:p>
      <w:pPr>
        <w:pStyle w:val="ListBullet"/>
      </w:pPr>
      <w:r>
        <w:t>Fix ε_d from literature or choose a plausible range (e.g., 0.3–1.5).</w:t>
      </w:r>
    </w:p>
    <w:p>
      <w:pPr>
        <w:pStyle w:val="ListBullet"/>
      </w:pPr>
      <w:r>
        <w:t>Set Vac_target to the long-run vacancy average (e.g., 5%).</w:t>
      </w:r>
    </w:p>
    <w:p>
      <w:pPr>
        <w:pStyle w:val="ListBullet"/>
      </w:pPr>
      <w:r>
        <w:t>Choose φ0 as a baseline (0.3–0.6), then test sensitivity using φ1 and φ2.</w:t>
      </w:r>
    </w:p>
    <w:p>
      <w:pPr>
        <w:pStyle w:val="Heading2"/>
      </w:pPr>
      <w:r>
        <w:t>Parameter Defaults: Pass-Through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Default / Notes</w:t>
            </w:r>
          </w:p>
        </w:tc>
      </w:tr>
      <w:tr>
        <w:tc>
          <w:tcPr>
            <w:tcW w:type="dxa" w:w="4320"/>
          </w:tcPr>
          <w:p>
            <w:r>
              <w:t>pass_through.base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pass_through.vacancy_target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pass_through.vacancy_slope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pass_through.elasticity_slope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pass_through.demand_elasticity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</w:tbl>
    <w:p>
      <w:pPr>
        <w:pStyle w:val="Heading2"/>
      </w:pPr>
      <w:r>
        <w:t>Price Model: User-Cost with Momentum</w:t>
      </w:r>
    </w:p>
    <w:p>
      <w:r>
        <w:t>Prices are anchored to user cost and can include rent-driven momentum and drift.</w:t>
      </w:r>
    </w:p>
    <w:p>
      <w:pPr>
        <w:jc w:val="center"/>
      </w:pPr>
      <w:r>
        <w:rPr>
          <w:rFonts w:ascii="Cambria Math" w:hAnsi="Cambria Math"/>
          <w:sz w:val="24"/>
        </w:rPr>
        <w:t>P_t = (R_t / UC_t) + λ · (ΔR_t / UC_t) ;  UC_t = r + τ + m + δ − g_R</w:t>
      </w:r>
    </w:p>
    <w:p>
      <w:pPr>
        <w:jc w:val="center"/>
      </w:pPr>
      <w:r>
        <w:rPr>
          <w:rFonts w:ascii="Cambria Math" w:hAnsi="Cambria Math"/>
          <w:sz w:val="24"/>
        </w:rPr>
        <w:t>P_t = P_t · exp(κ_t · g_R) · exp(drift)</w:t>
      </w:r>
    </w:p>
    <w:p>
      <w:r>
        <w:t>Where momentum decays over time:</w:t>
      </w:r>
    </w:p>
    <w:p>
      <w:pPr>
        <w:jc w:val="center"/>
      </w:pPr>
      <w:r>
        <w:rPr>
          <w:rFonts w:ascii="Cambria Math" w:hAnsi="Cambria Math"/>
          <w:sz w:val="24"/>
        </w:rPr>
        <w:t>κ_t = κ_0 · exp(−decay · t)</w:t>
      </w:r>
    </w:p>
    <w:p>
      <w:pPr>
        <w:pStyle w:val="Heading2"/>
      </w:pPr>
      <w:r>
        <w:t>Parameter Defaults: User-Cost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Default / Notes</w:t>
            </w:r>
          </w:p>
        </w:tc>
      </w:tr>
      <w:tr>
        <w:tc>
          <w:tcPr>
            <w:tcW w:type="dxa" w:w="4320"/>
          </w:tcPr>
          <w:p>
            <w:r>
              <w:t>user_cost.real_rate</w:t>
            </w:r>
          </w:p>
        </w:tc>
        <w:tc>
          <w:tcPr>
            <w:tcW w:type="dxa" w:w="4320"/>
          </w:tcPr>
          <w:p>
            <w:r>
              <w:t>0.03</w:t>
            </w:r>
          </w:p>
        </w:tc>
      </w:tr>
      <w:tr>
        <w:tc>
          <w:tcPr>
            <w:tcW w:type="dxa" w:w="4320"/>
          </w:tcPr>
          <w:p>
            <w:r>
              <w:t>user_cost.property_tax_base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  <w:tr>
        <w:tc>
          <w:tcPr>
            <w:tcW w:type="dxa" w:w="4320"/>
          </w:tcPr>
          <w:p>
            <w:r>
              <w:t>user_cost.maintenance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  <w:tr>
        <w:tc>
          <w:tcPr>
            <w:tcW w:type="dxa" w:w="4320"/>
          </w:tcPr>
          <w:p>
            <w:r>
              <w:t>user_cost.depreciation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  <w:tr>
        <w:tc>
          <w:tcPr>
            <w:tcW w:type="dxa" w:w="4320"/>
          </w:tcPr>
          <w:p>
            <w:r>
              <w:t>user_cost.expected_rent_growth</w:t>
            </w:r>
          </w:p>
        </w:tc>
        <w:tc>
          <w:tcPr>
            <w:tcW w:type="dxa" w:w="4320"/>
          </w:tcPr>
          <w:p>
            <w:r>
              <w:t>0.02</w:t>
            </w:r>
          </w:p>
        </w:tc>
      </w:tr>
      <w:tr>
        <w:tc>
          <w:tcPr>
            <w:tcW w:type="dxa" w:w="4320"/>
          </w:tcPr>
          <w:p>
            <w:r>
              <w:t>user_cost.momentum_kappa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user_cost.momentum_decay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user_cost.price_drift</w:t>
            </w:r>
          </w:p>
        </w:tc>
        <w:tc>
          <w:tcPr>
            <w:tcW w:type="dxa" w:w="4320"/>
          </w:tcPr>
          <w:p>
            <w:r>
              <w:t>0.003</w:t>
            </w:r>
          </w:p>
        </w:tc>
      </w:tr>
      <w:tr>
        <w:tc>
          <w:tcPr>
            <w:tcW w:type="dxa" w:w="4320"/>
          </w:tcPr>
          <w:p>
            <w:r>
              <w:t>user_cost.rent_capitalization_lambda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Parameter Defaults: Supply Response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Default / Notes</w:t>
            </w:r>
          </w:p>
        </w:tc>
      </w:tr>
      <w:tr>
        <w:tc>
          <w:tcPr>
            <w:tcW w:type="dxa" w:w="4320"/>
          </w:tcPr>
          <w:p>
            <w:r>
              <w:t>supply_response.price_elasticity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supply_response.min_multiplier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supply_response.max_multiplier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Where This Lives in Code</w:t>
      </w:r>
    </w:p>
    <w:p>
      <w:r>
        <w:t>Configuration parameters:</w:t>
      </w:r>
    </w:p>
    <w:p>
      <w:pPr>
        <w:pStyle w:val="ListBullet"/>
      </w:pPr>
      <w:r>
        <w:t>config/sim_params.yaml: pass_through.base, vacancy_target, vacancy_slope, elasticity_slope, demand_elasticity</w:t>
      </w:r>
    </w:p>
    <w:p>
      <w:pPr>
        <w:pStyle w:val="ListBullet"/>
      </w:pPr>
      <w:r>
        <w:t>scripts/simulate.py: computes φ_t each year and applies it to the tax term</w:t>
      </w:r>
    </w:p>
    <w:p>
      <w:pPr>
        <w:pStyle w:val="Heading2"/>
      </w:pPr>
      <w:r>
        <w:t>References / Theory Notes</w:t>
      </w:r>
    </w:p>
    <w:p>
      <w:pPr>
        <w:pStyle w:val="ListBullet"/>
      </w:pPr>
      <w:r>
        <w:t>Incidence intuition: pass-through rises in tighter markets and falls with more elastic demand.</w:t>
      </w:r>
    </w:p>
    <w:p>
      <w:pPr>
        <w:pStyle w:val="ListBullet"/>
      </w:pPr>
      <w:r>
        <w:t>User-cost framing: property taxes are a cost component that can be partially passed to rents.</w:t>
      </w:r>
    </w:p>
    <w:p>
      <w:pPr>
        <w:pStyle w:val="ListBullet"/>
      </w:pPr>
      <w:r>
        <w:t>This document provides a transparent baseline; parameters should be calibrated and sensitivity-tested.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