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765F6" w14:textId="1300E85B" w:rsidR="009918D3" w:rsidRPr="009918D3" w:rsidRDefault="009918D3" w:rsidP="009918D3">
      <w:r w:rsidRPr="009918D3">
        <w:rPr>
          <w:b/>
          <w:bCs/>
          <w:sz w:val="36"/>
          <w:szCs w:val="36"/>
          <w:lang w:val="en-US"/>
        </w:rPr>
        <w:t xml:space="preserve">Prompt </w:t>
      </w:r>
      <w:proofErr w:type="gramStart"/>
      <w:r w:rsidRPr="009918D3">
        <w:rPr>
          <w:b/>
          <w:bCs/>
          <w:sz w:val="36"/>
          <w:szCs w:val="36"/>
          <w:lang w:val="en-US"/>
        </w:rPr>
        <w:t>Used :</w:t>
      </w:r>
      <w:proofErr w:type="gramEnd"/>
      <w:r>
        <w:rPr>
          <w:lang w:val="en-US"/>
        </w:rPr>
        <w:br/>
      </w:r>
      <w:r>
        <w:rPr>
          <w:lang w:val="en-US"/>
        </w:rPr>
        <w:br/>
      </w:r>
      <w:r w:rsidRPr="009918D3">
        <w:rPr>
          <w:b/>
          <w:bCs/>
        </w:rPr>
        <w:t>Context:</w:t>
      </w:r>
      <w:r w:rsidRPr="009918D3">
        <w:t xml:space="preserve"> </w:t>
      </w:r>
    </w:p>
    <w:p w14:paraId="07EF7493" w14:textId="77777777" w:rsidR="009918D3" w:rsidRPr="009918D3" w:rsidRDefault="009918D3" w:rsidP="009918D3">
      <w:r w:rsidRPr="009918D3">
        <w:t xml:space="preserve">You are advising a UK retail bank on setting an appropriate de minimis threshold for a bereavement remediation project. This threshold defines the amount below which the bank will not contact the deceased customer’s next-of-kin or estate representatives, primarily to avoid causing undue emotional distress over minor sums. </w:t>
      </w:r>
    </w:p>
    <w:p w14:paraId="0857D597" w14:textId="77777777" w:rsidR="009918D3" w:rsidRPr="009918D3" w:rsidRDefault="009918D3" w:rsidP="009918D3">
      <w:r w:rsidRPr="009918D3">
        <w:t xml:space="preserve">In many cases, small charges (interest, fees, premiums, etc.) post after a customer's date of death. Contacting families about these minor balances can be operationally costly, emotionally insensitive, and reputationally damaging. However, not refunding at all can raise fairness and regulatory concerns. </w:t>
      </w:r>
    </w:p>
    <w:p w14:paraId="2CA9BF73" w14:textId="77777777" w:rsidR="009918D3" w:rsidRPr="009918D3" w:rsidRDefault="009918D3" w:rsidP="009918D3">
      <w:r w:rsidRPr="009918D3">
        <w:t xml:space="preserve">The bank is evaluating three potential de minimis thresholds: £15, £100, and £250. </w:t>
      </w:r>
    </w:p>
    <w:p w14:paraId="4C8084DA" w14:textId="1D735336" w:rsidR="009918D3" w:rsidRPr="009918D3" w:rsidRDefault="009918D3" w:rsidP="009918D3">
      <w:pPr>
        <w:rPr>
          <w:b/>
          <w:bCs/>
        </w:rPr>
      </w:pPr>
      <w:r w:rsidRPr="009918D3">
        <w:rPr>
          <w:b/>
          <w:bCs/>
        </w:rPr>
        <w:t xml:space="preserve">Your Task: </w:t>
      </w:r>
    </w:p>
    <w:p w14:paraId="797579A1" w14:textId="77777777" w:rsidR="009918D3" w:rsidRPr="009918D3" w:rsidRDefault="009918D3" w:rsidP="009918D3">
      <w:r w:rsidRPr="009918D3">
        <w:t xml:space="preserve">Evaluate each of the following thresholds—£15, £100, and £250—as candidates for the de minimis amount. </w:t>
      </w:r>
    </w:p>
    <w:p w14:paraId="2AC81EE9" w14:textId="77777777" w:rsidR="009918D3" w:rsidRPr="009918D3" w:rsidRDefault="009918D3" w:rsidP="009918D3">
      <w:r w:rsidRPr="009918D3">
        <w:t xml:space="preserve">Discuss their strengths and limitations across four dimensions: </w:t>
      </w:r>
    </w:p>
    <w:p w14:paraId="5A568910" w14:textId="77777777" w:rsidR="009918D3" w:rsidRPr="009918D3" w:rsidRDefault="009918D3" w:rsidP="009918D3">
      <w:r w:rsidRPr="009918D3">
        <w:t xml:space="preserve">Emotional impact on next-of-kin (grief reminder, dignity, trivial per-beneficiary sums) </w:t>
      </w:r>
    </w:p>
    <w:p w14:paraId="44D52266" w14:textId="77777777" w:rsidR="009918D3" w:rsidRPr="009918D3" w:rsidRDefault="009918D3" w:rsidP="009918D3">
      <w:r w:rsidRPr="009918D3">
        <w:t xml:space="preserve">Financial significance for beneficiaries, particularly in average UK wills (usually 3–4 beneficiaries per estate) </w:t>
      </w:r>
    </w:p>
    <w:p w14:paraId="3F9578FF" w14:textId="77777777" w:rsidR="009918D3" w:rsidRPr="009918D3" w:rsidRDefault="009918D3" w:rsidP="009918D3">
      <w:r w:rsidRPr="009918D3">
        <w:t xml:space="preserve">Operational cost/benefit trade-off for the bank (cost to contact vs. value refunded) </w:t>
      </w:r>
    </w:p>
    <w:p w14:paraId="644FB596" w14:textId="77777777" w:rsidR="009918D3" w:rsidRPr="009918D3" w:rsidRDefault="009918D3" w:rsidP="009918D3">
      <w:r w:rsidRPr="009918D3">
        <w:t xml:space="preserve">Regulatory alignment (FCA’s Consumer Duty, fairness expectations, precedent such as CASS or industry practice) </w:t>
      </w:r>
    </w:p>
    <w:p w14:paraId="60F62B5C" w14:textId="77777777" w:rsidR="009918D3" w:rsidRPr="009918D3" w:rsidRDefault="009918D3" w:rsidP="009918D3">
      <w:r w:rsidRPr="009918D3">
        <w:t xml:space="preserve">Based on your analysis, rank the three values (from most to least optimal) for use as the de minimis. </w:t>
      </w:r>
    </w:p>
    <w:p w14:paraId="5EEA4987" w14:textId="77777777" w:rsidR="009918D3" w:rsidRPr="009918D3" w:rsidRDefault="009918D3" w:rsidP="009918D3">
      <w:r w:rsidRPr="009918D3">
        <w:t xml:space="preserve">Propose an ideal fallback threshold in case none of the three values (£15, £100, £250) offer the best balance. Justify why this new amount may be more appropriate. </w:t>
      </w:r>
    </w:p>
    <w:p w14:paraId="5D13A977" w14:textId="77777777" w:rsidR="009918D3" w:rsidRPr="009918D3" w:rsidRDefault="009918D3" w:rsidP="009918D3">
      <w:r w:rsidRPr="009918D3">
        <w:t xml:space="preserve">Reflect on post-closure timelines: If a remediation is triggered after an estate has been closed (up to 15 years later), what is a meaningful financial threshold to warrant contacting a beneficiary given the emotional cost of reopening memories? Provide a qualitative assessment based on grief literature, estate practices, and bank reputation management. </w:t>
      </w:r>
    </w:p>
    <w:p w14:paraId="565929DF" w14:textId="77777777" w:rsidR="009918D3" w:rsidRPr="009918D3" w:rsidRDefault="009918D3" w:rsidP="009918D3">
      <w:pPr>
        <w:rPr>
          <w:b/>
          <w:bCs/>
        </w:rPr>
      </w:pPr>
      <w:r w:rsidRPr="009918D3">
        <w:rPr>
          <w:b/>
          <w:bCs/>
        </w:rPr>
        <w:t xml:space="preserve">Additional Requirements: </w:t>
      </w:r>
    </w:p>
    <w:p w14:paraId="35A84294" w14:textId="77777777" w:rsidR="009918D3" w:rsidRPr="009918D3" w:rsidRDefault="009918D3" w:rsidP="009918D3">
      <w:r w:rsidRPr="009918D3">
        <w:t xml:space="preserve">Also think of average number of </w:t>
      </w:r>
      <w:proofErr w:type="spellStart"/>
      <w:r w:rsidRPr="009918D3">
        <w:t>benficiaries</w:t>
      </w:r>
      <w:proofErr w:type="spellEnd"/>
      <w:r w:rsidRPr="009918D3">
        <w:t xml:space="preserve"> on a UK will </w:t>
      </w:r>
    </w:p>
    <w:p w14:paraId="130EF731" w14:textId="77777777" w:rsidR="009918D3" w:rsidRPr="009918D3" w:rsidRDefault="009918D3" w:rsidP="009918D3">
      <w:r w:rsidRPr="009918D3">
        <w:lastRenderedPageBreak/>
        <w:t xml:space="preserve">Provide concrete examples to support your reasoning (e.g., a £100 total refund split across four heirs = £25 per person). </w:t>
      </w:r>
    </w:p>
    <w:p w14:paraId="402DDAF5" w14:textId="77777777" w:rsidR="009918D3" w:rsidRPr="009918D3" w:rsidRDefault="009918D3" w:rsidP="009918D3">
      <w:r w:rsidRPr="009918D3">
        <w:t xml:space="preserve">Consider the potential public relations risks of too low or too high a threshold. </w:t>
      </w:r>
    </w:p>
    <w:p w14:paraId="3A35BFC6" w14:textId="77777777" w:rsidR="009918D3" w:rsidRPr="009918D3" w:rsidRDefault="009918D3" w:rsidP="009918D3">
      <w:r w:rsidRPr="009918D3">
        <w:t xml:space="preserve">Suggest any override policies for vulnerable customers or disproportionately affected estates. </w:t>
      </w:r>
    </w:p>
    <w:p w14:paraId="28C50AF4" w14:textId="6C4C0233" w:rsidR="009918D3" w:rsidRPr="009918D3" w:rsidRDefault="009918D3" w:rsidP="009918D3">
      <w:pPr>
        <w:rPr>
          <w:b/>
          <w:bCs/>
        </w:rPr>
      </w:pPr>
      <w:r w:rsidRPr="009918D3">
        <w:rPr>
          <w:b/>
          <w:bCs/>
        </w:rPr>
        <w:t xml:space="preserve">Tone &amp; Output: </w:t>
      </w:r>
    </w:p>
    <w:p w14:paraId="2A41F182" w14:textId="77777777" w:rsidR="009918D3" w:rsidRDefault="009918D3" w:rsidP="009918D3">
      <w:r w:rsidRPr="009918D3">
        <w:t>Produce a professional-grade output suitable for an executive-level memo or internal policy paper. Use formal structure, headings, concise analysis, and a final section with a clear recommendation. Tables or ranked summaries are welcome.</w:t>
      </w:r>
    </w:p>
    <w:p w14:paraId="243C4849" w14:textId="77777777" w:rsidR="009918D3" w:rsidRDefault="009918D3" w:rsidP="009918D3"/>
    <w:p w14:paraId="2717E685" w14:textId="77777777" w:rsidR="009918D3" w:rsidRDefault="009918D3" w:rsidP="009918D3"/>
    <w:p w14:paraId="2849E2FE" w14:textId="681CA803" w:rsidR="009D07B9" w:rsidRDefault="009918D3" w:rsidP="009918D3">
      <w:pPr>
        <w:rPr>
          <w:b/>
          <w:bCs/>
          <w:sz w:val="36"/>
          <w:szCs w:val="36"/>
        </w:rPr>
      </w:pPr>
      <w:r>
        <w:rPr>
          <w:b/>
          <w:bCs/>
          <w:sz w:val="36"/>
          <w:szCs w:val="36"/>
        </w:rPr>
        <w:t>Output:</w:t>
      </w:r>
    </w:p>
    <w:p w14:paraId="382A5190" w14:textId="6F56B5F1" w:rsidR="009918D3" w:rsidRDefault="009918D3" w:rsidP="009918D3">
      <w:pPr>
        <w:spacing w:after="120" w:line="240" w:lineRule="auto"/>
        <w:outlineLvl w:val="0"/>
        <w:rPr>
          <w:rFonts w:ascii="Arial" w:eastAsia="Times New Roman" w:hAnsi="Arial" w:cs="Arial"/>
          <w:b/>
          <w:bCs/>
          <w:color w:val="1B1C1D"/>
          <w:kern w:val="36"/>
          <w:sz w:val="33"/>
          <w:szCs w:val="33"/>
          <w:lang w:eastAsia="en-GB"/>
          <w14:ligatures w14:val="none"/>
        </w:rPr>
      </w:pPr>
      <w:r w:rsidRPr="009918D3">
        <w:rPr>
          <w:rFonts w:ascii="Arial" w:eastAsia="Times New Roman" w:hAnsi="Arial" w:cs="Arial"/>
          <w:b/>
          <w:bCs/>
          <w:color w:val="1B1C1D"/>
          <w:kern w:val="36"/>
          <w:sz w:val="33"/>
          <w:szCs w:val="33"/>
          <w:lang w:eastAsia="en-GB"/>
          <w14:ligatures w14:val="none"/>
        </w:rPr>
        <w:t>Evaluating De Minimis Thresholds for Bereavement Remediation: A Strategic Imperative for UK Retail Bank</w:t>
      </w:r>
    </w:p>
    <w:p w14:paraId="3FA5880E" w14:textId="77777777" w:rsidR="009918D3" w:rsidRPr="009918D3" w:rsidRDefault="009918D3" w:rsidP="009918D3">
      <w:pPr>
        <w:spacing w:after="120" w:line="240" w:lineRule="auto"/>
        <w:outlineLvl w:val="0"/>
        <w:rPr>
          <w:rFonts w:ascii="Arial" w:eastAsia="Times New Roman" w:hAnsi="Arial" w:cs="Arial"/>
          <w:b/>
          <w:bCs/>
          <w:color w:val="1B1C1D"/>
          <w:kern w:val="36"/>
          <w:sz w:val="33"/>
          <w:szCs w:val="33"/>
          <w:lang w:eastAsia="en-GB"/>
          <w14:ligatures w14:val="none"/>
        </w:rPr>
      </w:pPr>
    </w:p>
    <w:p w14:paraId="4A87CB6B" w14:textId="77777777" w:rsidR="009918D3" w:rsidRPr="009918D3" w:rsidRDefault="009918D3" w:rsidP="009918D3">
      <w:pPr>
        <w:spacing w:after="120" w:line="240" w:lineRule="auto"/>
        <w:outlineLvl w:val="1"/>
        <w:rPr>
          <w:rFonts w:ascii="Arial" w:eastAsia="Times New Roman" w:hAnsi="Arial" w:cs="Arial"/>
          <w:b/>
          <w:bCs/>
          <w:color w:val="1B1C1D"/>
          <w:kern w:val="0"/>
          <w:sz w:val="30"/>
          <w:szCs w:val="30"/>
          <w:lang w:eastAsia="en-GB"/>
          <w14:ligatures w14:val="none"/>
        </w:rPr>
      </w:pPr>
      <w:r w:rsidRPr="009918D3">
        <w:rPr>
          <w:rFonts w:ascii="Arial" w:eastAsia="Times New Roman" w:hAnsi="Arial" w:cs="Arial"/>
          <w:b/>
          <w:bCs/>
          <w:color w:val="1B1C1D"/>
          <w:kern w:val="0"/>
          <w:sz w:val="30"/>
          <w:szCs w:val="30"/>
          <w:lang w:eastAsia="en-GB"/>
          <w14:ligatures w14:val="none"/>
        </w:rPr>
        <w:t>Executive Summary</w:t>
      </w:r>
    </w:p>
    <w:p w14:paraId="569393FF" w14:textId="77777777" w:rsidR="009918D3" w:rsidRPr="009918D3" w:rsidRDefault="009918D3" w:rsidP="009918D3">
      <w:p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 xml:space="preserve">This report evaluates three potential de minimis thresholds—£15, £100, and £250—for a UK retail bank's bereavement remediation program. The objective is to identify a threshold that optimally balances humanitarian empathy, financial significance for beneficiaries, operational efficiency, and regulatory alignment, while mitigating reputational risks. Our analysis concludes that </w:t>
      </w:r>
      <w:r w:rsidRPr="009918D3">
        <w:rPr>
          <w:rFonts w:ascii="Arial" w:eastAsia="Times New Roman" w:hAnsi="Arial" w:cs="Arial"/>
          <w:b/>
          <w:bCs/>
          <w:color w:val="1B1C1D"/>
          <w:kern w:val="0"/>
          <w:bdr w:val="none" w:sz="0" w:space="0" w:color="auto" w:frame="1"/>
          <w:lang w:eastAsia="en-GB"/>
          <w14:ligatures w14:val="none"/>
        </w:rPr>
        <w:t>£250 is the most optimal threshold</w:t>
      </w:r>
      <w:r w:rsidRPr="009918D3">
        <w:rPr>
          <w:rFonts w:ascii="Arial" w:eastAsia="Times New Roman" w:hAnsi="Arial" w:cs="Arial"/>
          <w:color w:val="1B1C1D"/>
          <w:kern w:val="0"/>
          <w:lang w:eastAsia="en-GB"/>
          <w14:ligatures w14:val="none"/>
        </w:rPr>
        <w:t>, offering a meaningful gesture of support to bereaved families, streamlining bank operations, and robustly aligning with regulatory expectations, particularly the FCA's Consumer Duty. Lower thresholds are found to be inadequate and potentially counterproductive. In the unlikely event that £250 is not feasible, a fallback threshold of £200 is proposed as a pragmatic compromise. Furthermore, the report addresses the unique considerations for remediation triggered long after an estate's closure, advocating for a significantly higher threshold to justify re-engaging with grieving families.</w:t>
      </w:r>
    </w:p>
    <w:p w14:paraId="76A18C74" w14:textId="77777777" w:rsidR="009918D3" w:rsidRPr="009918D3" w:rsidRDefault="009918D3" w:rsidP="009918D3">
      <w:pPr>
        <w:spacing w:after="120" w:line="240" w:lineRule="auto"/>
        <w:outlineLvl w:val="1"/>
        <w:rPr>
          <w:rFonts w:ascii="Arial" w:eastAsia="Times New Roman" w:hAnsi="Arial" w:cs="Arial"/>
          <w:b/>
          <w:bCs/>
          <w:color w:val="1B1C1D"/>
          <w:kern w:val="0"/>
          <w:sz w:val="30"/>
          <w:szCs w:val="30"/>
          <w:lang w:eastAsia="en-GB"/>
          <w14:ligatures w14:val="none"/>
        </w:rPr>
      </w:pPr>
      <w:r w:rsidRPr="009918D3">
        <w:rPr>
          <w:rFonts w:ascii="Arial" w:eastAsia="Times New Roman" w:hAnsi="Arial" w:cs="Arial"/>
          <w:b/>
          <w:bCs/>
          <w:color w:val="1B1C1D"/>
          <w:kern w:val="0"/>
          <w:sz w:val="30"/>
          <w:szCs w:val="30"/>
          <w:lang w:eastAsia="en-GB"/>
          <w14:ligatures w14:val="none"/>
        </w:rPr>
        <w:t>1. Introduction: Navigating Bereavement with Empathy and Efficiency</w:t>
      </w:r>
    </w:p>
    <w:p w14:paraId="2E9630C8" w14:textId="77777777" w:rsidR="009918D3" w:rsidRPr="009918D3" w:rsidRDefault="009918D3" w:rsidP="009918D3">
      <w:p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The period following a death is profoundly challenging, often compounded by complex financial and administrative tasks that can feel like an "overwhelming burden" at a time when individuals are "least able to cope," significantly impacting their grieving process.</w:t>
      </w:r>
      <w:r w:rsidRPr="009918D3">
        <w:rPr>
          <w:rFonts w:ascii="Arial" w:eastAsia="Times New Roman" w:hAnsi="Arial" w:cs="Arial"/>
          <w:color w:val="575B5F"/>
          <w:kern w:val="0"/>
          <w:bdr w:val="none" w:sz="0" w:space="0" w:color="auto" w:frame="1"/>
          <w:vertAlign w:val="superscript"/>
          <w:lang w:eastAsia="en-GB"/>
          <w14:ligatures w14:val="none"/>
        </w:rPr>
        <w:t>1</w:t>
      </w:r>
      <w:r w:rsidRPr="009918D3">
        <w:rPr>
          <w:rFonts w:ascii="Arial" w:eastAsia="Times New Roman" w:hAnsi="Arial" w:cs="Arial"/>
          <w:color w:val="1B1C1D"/>
          <w:kern w:val="0"/>
          <w:lang w:eastAsia="en-GB"/>
          <w14:ligatures w14:val="none"/>
        </w:rPr>
        <w:t xml:space="preserve"> Financial pressures during bereavement have a substantial negative impact on emotional well-being, with 44% of bereaved individuals reporting such an effect, rising to 72% for those who lost a spouse or partner.</w:t>
      </w:r>
      <w:r w:rsidRPr="009918D3">
        <w:rPr>
          <w:rFonts w:ascii="Arial" w:eastAsia="Times New Roman" w:hAnsi="Arial" w:cs="Arial"/>
          <w:color w:val="575B5F"/>
          <w:kern w:val="0"/>
          <w:bdr w:val="none" w:sz="0" w:space="0" w:color="auto" w:frame="1"/>
          <w:vertAlign w:val="superscript"/>
          <w:lang w:eastAsia="en-GB"/>
          <w14:ligatures w14:val="none"/>
        </w:rPr>
        <w:t>2</w:t>
      </w:r>
      <w:r w:rsidRPr="009918D3">
        <w:rPr>
          <w:rFonts w:ascii="Arial" w:eastAsia="Times New Roman" w:hAnsi="Arial" w:cs="Arial"/>
          <w:color w:val="1B1C1D"/>
          <w:kern w:val="0"/>
          <w:lang w:eastAsia="en-GB"/>
          <w14:ligatures w14:val="none"/>
        </w:rPr>
        <w:t xml:space="preserve"> This </w:t>
      </w:r>
      <w:r w:rsidRPr="009918D3">
        <w:rPr>
          <w:rFonts w:ascii="Arial" w:eastAsia="Times New Roman" w:hAnsi="Arial" w:cs="Arial"/>
          <w:color w:val="1B1C1D"/>
          <w:kern w:val="0"/>
          <w:lang w:eastAsia="en-GB"/>
          <w14:ligatures w14:val="none"/>
        </w:rPr>
        <w:lastRenderedPageBreak/>
        <w:t>underscores the critical need for financial institutions to approach deceased estates with utmost sensitivity and care.</w:t>
      </w:r>
    </w:p>
    <w:p w14:paraId="52DA3F0C" w14:textId="77777777" w:rsidR="009918D3" w:rsidRPr="009918D3" w:rsidRDefault="009918D3" w:rsidP="009918D3">
      <w:p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The Financial Conduct Authority (FCA) mandates fair treatment and support for customers in vulnerable circumstances, a category that unequivocally includes bereaved individuals. The FCA's Consumer Duty, effective July 2023, reinforces the expectation for firms to ensure good outcomes, clear communication, and tailored support, emphasizing that products and services must offer "fair value".</w:t>
      </w:r>
      <w:r w:rsidRPr="009918D3">
        <w:rPr>
          <w:rFonts w:ascii="Arial" w:eastAsia="Times New Roman" w:hAnsi="Arial" w:cs="Arial"/>
          <w:color w:val="575B5F"/>
          <w:kern w:val="0"/>
          <w:bdr w:val="none" w:sz="0" w:space="0" w:color="auto" w:frame="1"/>
          <w:vertAlign w:val="superscript"/>
          <w:lang w:eastAsia="en-GB"/>
          <w14:ligatures w14:val="none"/>
        </w:rPr>
        <w:t>3</w:t>
      </w:r>
      <w:r w:rsidRPr="009918D3">
        <w:rPr>
          <w:rFonts w:ascii="Arial" w:eastAsia="Times New Roman" w:hAnsi="Arial" w:cs="Arial"/>
          <w:color w:val="1B1C1D"/>
          <w:kern w:val="0"/>
          <w:lang w:eastAsia="en-GB"/>
          <w14:ligatures w14:val="none"/>
        </w:rPr>
        <w:t xml:space="preserve"> This regulatory framework highlights that a bank's responsibility extends beyond transactional accuracy to encompass the holistic well-being of its customers.</w:t>
      </w:r>
    </w:p>
    <w:p w14:paraId="19B199C3" w14:textId="77777777" w:rsidR="009918D3" w:rsidRPr="009918D3" w:rsidRDefault="009918D3" w:rsidP="009918D3">
      <w:pPr>
        <w:spacing w:after="24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This report will evaluate the proposed de minimis thresholds against these critical dimensions, providing a clear recommendation for a policy that is both compassionate and strategically sound.</w:t>
      </w:r>
    </w:p>
    <w:p w14:paraId="4D647E9E" w14:textId="77777777" w:rsidR="009918D3" w:rsidRPr="009918D3" w:rsidRDefault="009918D3" w:rsidP="009918D3">
      <w:pPr>
        <w:spacing w:after="120" w:line="240" w:lineRule="auto"/>
        <w:outlineLvl w:val="1"/>
        <w:rPr>
          <w:rFonts w:ascii="Arial" w:eastAsia="Times New Roman" w:hAnsi="Arial" w:cs="Arial"/>
          <w:b/>
          <w:bCs/>
          <w:color w:val="1B1C1D"/>
          <w:kern w:val="0"/>
          <w:sz w:val="30"/>
          <w:szCs w:val="30"/>
          <w:lang w:eastAsia="en-GB"/>
          <w14:ligatures w14:val="none"/>
        </w:rPr>
      </w:pPr>
      <w:r w:rsidRPr="009918D3">
        <w:rPr>
          <w:rFonts w:ascii="Arial" w:eastAsia="Times New Roman" w:hAnsi="Arial" w:cs="Arial"/>
          <w:b/>
          <w:bCs/>
          <w:color w:val="1B1C1D"/>
          <w:kern w:val="0"/>
          <w:sz w:val="30"/>
          <w:szCs w:val="30"/>
          <w:lang w:eastAsia="en-GB"/>
          <w14:ligatures w14:val="none"/>
        </w:rPr>
        <w:t>2. Evaluation of De Minimis Thresholds</w:t>
      </w:r>
    </w:p>
    <w:p w14:paraId="235A56C1" w14:textId="77777777" w:rsidR="009918D3" w:rsidRPr="009918D3" w:rsidRDefault="009918D3" w:rsidP="009918D3">
      <w:pPr>
        <w:spacing w:after="120" w:line="240" w:lineRule="auto"/>
        <w:outlineLvl w:val="2"/>
        <w:rPr>
          <w:rFonts w:ascii="Arial" w:eastAsia="Times New Roman" w:hAnsi="Arial" w:cs="Arial"/>
          <w:b/>
          <w:bCs/>
          <w:color w:val="1B1C1D"/>
          <w:kern w:val="0"/>
          <w:lang w:eastAsia="en-GB"/>
          <w14:ligatures w14:val="none"/>
        </w:rPr>
      </w:pPr>
      <w:r w:rsidRPr="009918D3">
        <w:rPr>
          <w:rFonts w:ascii="Arial" w:eastAsia="Times New Roman" w:hAnsi="Arial" w:cs="Arial"/>
          <w:b/>
          <w:bCs/>
          <w:color w:val="1B1C1D"/>
          <w:kern w:val="0"/>
          <w:lang w:eastAsia="en-GB"/>
          <w14:ligatures w14:val="none"/>
        </w:rPr>
        <w:t>2.1. £15 Threshold</w:t>
      </w:r>
    </w:p>
    <w:p w14:paraId="5BBEFE68" w14:textId="77777777" w:rsidR="009918D3" w:rsidRPr="009918D3" w:rsidRDefault="009918D3" w:rsidP="009918D3">
      <w:pPr>
        <w:numPr>
          <w:ilvl w:val="0"/>
          <w:numId w:val="39"/>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Emotional Impact on Next-of-Kin:</w:t>
      </w:r>
      <w:r w:rsidRPr="009918D3">
        <w:rPr>
          <w:rFonts w:ascii="Arial" w:eastAsia="Times New Roman" w:hAnsi="Arial" w:cs="Arial"/>
          <w:color w:val="1B1C1D"/>
          <w:kern w:val="0"/>
          <w:lang w:eastAsia="en-GB"/>
          <w14:ligatures w14:val="none"/>
        </w:rPr>
        <w:t xml:space="preserve"> This threshold is highly problematic. Contacting a grieving family for a £15 refund, which, when split among an average of 3-4 beneficiaries (a common scenario in UK wills </w:t>
      </w:r>
      <w:r w:rsidRPr="009918D3">
        <w:rPr>
          <w:rFonts w:ascii="Arial" w:eastAsia="Times New Roman" w:hAnsi="Arial" w:cs="Arial"/>
          <w:color w:val="575B5F"/>
          <w:kern w:val="0"/>
          <w:bdr w:val="none" w:sz="0" w:space="0" w:color="auto" w:frame="1"/>
          <w:vertAlign w:val="superscript"/>
          <w:lang w:eastAsia="en-GB"/>
          <w14:ligatures w14:val="none"/>
        </w:rPr>
        <w:t>6</w:t>
      </w:r>
      <w:r w:rsidRPr="009918D3">
        <w:rPr>
          <w:rFonts w:ascii="Arial" w:eastAsia="Times New Roman" w:hAnsi="Arial" w:cs="Arial"/>
          <w:color w:val="1B1C1D"/>
          <w:kern w:val="0"/>
          <w:lang w:eastAsia="en-GB"/>
          <w14:ligatures w14:val="none"/>
        </w:rPr>
        <w:t>), amounts to a trivial £3.75 to £5 per person, risks being perceived as insensitive and demeaning. It can re-traumatize individuals by forcing them to re-engage with the administrative burdens of their loss for a negligible sum, exacerbating their emotional distress.</w:t>
      </w:r>
      <w:r w:rsidRPr="009918D3">
        <w:rPr>
          <w:rFonts w:ascii="Arial" w:eastAsia="Times New Roman" w:hAnsi="Arial" w:cs="Arial"/>
          <w:color w:val="575B5F"/>
          <w:kern w:val="0"/>
          <w:bdr w:val="none" w:sz="0" w:space="0" w:color="auto" w:frame="1"/>
          <w:vertAlign w:val="superscript"/>
          <w:lang w:eastAsia="en-GB"/>
          <w14:ligatures w14:val="none"/>
        </w:rPr>
        <w:t>1</w:t>
      </w:r>
      <w:r w:rsidRPr="009918D3">
        <w:rPr>
          <w:rFonts w:ascii="Arial" w:eastAsia="Times New Roman" w:hAnsi="Arial" w:cs="Arial"/>
          <w:color w:val="1B1C1D"/>
          <w:kern w:val="0"/>
          <w:lang w:eastAsia="en-GB"/>
          <w14:ligatures w14:val="none"/>
        </w:rPr>
        <w:t xml:space="preserve"> It offers no meaningful relief and can feel like an insult, undermining the bank's perceived empathy.</w:t>
      </w:r>
    </w:p>
    <w:p w14:paraId="4932C2E2" w14:textId="77777777" w:rsidR="009918D3" w:rsidRPr="009918D3" w:rsidRDefault="009918D3" w:rsidP="009918D3">
      <w:pPr>
        <w:numPr>
          <w:ilvl w:val="0"/>
          <w:numId w:val="39"/>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Financial Significance for Beneficiaries:</w:t>
      </w:r>
      <w:r w:rsidRPr="009918D3">
        <w:rPr>
          <w:rFonts w:ascii="Arial" w:eastAsia="Times New Roman" w:hAnsi="Arial" w:cs="Arial"/>
          <w:color w:val="1B1C1D"/>
          <w:kern w:val="0"/>
          <w:lang w:eastAsia="en-GB"/>
          <w14:ligatures w14:val="none"/>
        </w:rPr>
        <w:t xml:space="preserve"> A £15 payment provides virtually no meaningful financial relief. Given that over a third of bereaved individuals report negative financial impacts and many resort to borrowing for essentials </w:t>
      </w:r>
      <w:r w:rsidRPr="009918D3">
        <w:rPr>
          <w:rFonts w:ascii="Arial" w:eastAsia="Times New Roman" w:hAnsi="Arial" w:cs="Arial"/>
          <w:color w:val="575B5F"/>
          <w:kern w:val="0"/>
          <w:bdr w:val="none" w:sz="0" w:space="0" w:color="auto" w:frame="1"/>
          <w:vertAlign w:val="superscript"/>
          <w:lang w:eastAsia="en-GB"/>
          <w14:ligatures w14:val="none"/>
        </w:rPr>
        <w:t>2</w:t>
      </w:r>
      <w:r w:rsidRPr="009918D3">
        <w:rPr>
          <w:rFonts w:ascii="Arial" w:eastAsia="Times New Roman" w:hAnsi="Arial" w:cs="Arial"/>
          <w:color w:val="1B1C1D"/>
          <w:kern w:val="0"/>
          <w:lang w:eastAsia="en-GB"/>
          <w14:ligatures w14:val="none"/>
        </w:rPr>
        <w:t>, such a small sum is unlikely to alleviate any genuine financial strain.</w:t>
      </w:r>
    </w:p>
    <w:p w14:paraId="3B6B2F8B" w14:textId="77777777" w:rsidR="009918D3" w:rsidRPr="009918D3" w:rsidRDefault="009918D3" w:rsidP="009918D3">
      <w:pPr>
        <w:numPr>
          <w:ilvl w:val="0"/>
          <w:numId w:val="39"/>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Operational Cost/Benefit Trade-off for the Bank:</w:t>
      </w:r>
      <w:r w:rsidRPr="009918D3">
        <w:rPr>
          <w:rFonts w:ascii="Arial" w:eastAsia="Times New Roman" w:hAnsi="Arial" w:cs="Arial"/>
          <w:color w:val="1B1C1D"/>
          <w:kern w:val="0"/>
          <w:lang w:eastAsia="en-GB"/>
          <w14:ligatures w14:val="none"/>
        </w:rPr>
        <w:t xml:space="preserve"> The operational cost of identifying, calculating, communicating, processing, and documenting a £15 remediation payment almost certainly exceeds the amount being refunded. While a Bacs payment can be as low as 5p-50p </w:t>
      </w:r>
      <w:r w:rsidRPr="009918D3">
        <w:rPr>
          <w:rFonts w:ascii="Arial" w:eastAsia="Times New Roman" w:hAnsi="Arial" w:cs="Arial"/>
          <w:color w:val="575B5F"/>
          <w:kern w:val="0"/>
          <w:bdr w:val="none" w:sz="0" w:space="0" w:color="auto" w:frame="1"/>
          <w:vertAlign w:val="superscript"/>
          <w:lang w:eastAsia="en-GB"/>
          <w14:ligatures w14:val="none"/>
        </w:rPr>
        <w:t>8</w:t>
      </w:r>
      <w:r w:rsidRPr="009918D3">
        <w:rPr>
          <w:rFonts w:ascii="Arial" w:eastAsia="Times New Roman" w:hAnsi="Arial" w:cs="Arial"/>
          <w:color w:val="1B1C1D"/>
          <w:kern w:val="0"/>
          <w:lang w:eastAsia="en-GB"/>
          <w14:ligatures w14:val="none"/>
        </w:rPr>
        <w:t xml:space="preserve">, the cost of a single inbound customer service call can range from £3 to £15 </w:t>
      </w:r>
      <w:r w:rsidRPr="009918D3">
        <w:rPr>
          <w:rFonts w:ascii="Arial" w:eastAsia="Times New Roman" w:hAnsi="Arial" w:cs="Arial"/>
          <w:color w:val="575B5F"/>
          <w:kern w:val="0"/>
          <w:bdr w:val="none" w:sz="0" w:space="0" w:color="auto" w:frame="1"/>
          <w:vertAlign w:val="superscript"/>
          <w:lang w:eastAsia="en-GB"/>
          <w14:ligatures w14:val="none"/>
        </w:rPr>
        <w:t>9</w:t>
      </w:r>
      <w:r w:rsidRPr="009918D3">
        <w:rPr>
          <w:rFonts w:ascii="Arial" w:eastAsia="Times New Roman" w:hAnsi="Arial" w:cs="Arial"/>
          <w:color w:val="1B1C1D"/>
          <w:kern w:val="0"/>
          <w:lang w:eastAsia="en-GB"/>
          <w14:ligatures w14:val="none"/>
        </w:rPr>
        <w:t>, and internal administrative overhead (staff time, system resources, compliance checks) is substantial.</w:t>
      </w:r>
      <w:r w:rsidRPr="009918D3">
        <w:rPr>
          <w:rFonts w:ascii="Arial" w:eastAsia="Times New Roman" w:hAnsi="Arial" w:cs="Arial"/>
          <w:color w:val="575B5F"/>
          <w:kern w:val="0"/>
          <w:bdr w:val="none" w:sz="0" w:space="0" w:color="auto" w:frame="1"/>
          <w:vertAlign w:val="superscript"/>
          <w:lang w:eastAsia="en-GB"/>
          <w14:ligatures w14:val="none"/>
        </w:rPr>
        <w:t>10</w:t>
      </w:r>
      <w:r w:rsidRPr="009918D3">
        <w:rPr>
          <w:rFonts w:ascii="Arial" w:eastAsia="Times New Roman" w:hAnsi="Arial" w:cs="Arial"/>
          <w:color w:val="1B1C1D"/>
          <w:kern w:val="0"/>
          <w:lang w:eastAsia="en-GB"/>
          <w14:ligatures w14:val="none"/>
        </w:rPr>
        <w:t xml:space="preserve"> Pursuing thousands of such low-value cases creates immense administrative friction, diverting valuable resources from more impactful activities and leading to a clear negative return on investment.</w:t>
      </w:r>
    </w:p>
    <w:p w14:paraId="1A0BC05D" w14:textId="77777777" w:rsidR="009918D3" w:rsidRPr="009918D3" w:rsidRDefault="009918D3" w:rsidP="009918D3">
      <w:pPr>
        <w:numPr>
          <w:ilvl w:val="0"/>
          <w:numId w:val="39"/>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Regulatory Alignment:</w:t>
      </w:r>
      <w:r w:rsidRPr="009918D3">
        <w:rPr>
          <w:rFonts w:ascii="Arial" w:eastAsia="Times New Roman" w:hAnsi="Arial" w:cs="Arial"/>
          <w:color w:val="1B1C1D"/>
          <w:kern w:val="0"/>
          <w:lang w:eastAsia="en-GB"/>
          <w14:ligatures w14:val="none"/>
        </w:rPr>
        <w:t xml:space="preserve"> A £15 threshold risks failing the "fair value" and "good outcomes" principles of the FCA's Consumer Duty.</w:t>
      </w:r>
      <w:r w:rsidRPr="009918D3">
        <w:rPr>
          <w:rFonts w:ascii="Arial" w:eastAsia="Times New Roman" w:hAnsi="Arial" w:cs="Arial"/>
          <w:color w:val="575B5F"/>
          <w:kern w:val="0"/>
          <w:bdr w:val="none" w:sz="0" w:space="0" w:color="auto" w:frame="1"/>
          <w:vertAlign w:val="superscript"/>
          <w:lang w:eastAsia="en-GB"/>
          <w14:ligatures w14:val="none"/>
        </w:rPr>
        <w:t>4</w:t>
      </w:r>
      <w:r w:rsidRPr="009918D3">
        <w:rPr>
          <w:rFonts w:ascii="Arial" w:eastAsia="Times New Roman" w:hAnsi="Arial" w:cs="Arial"/>
          <w:color w:val="1B1C1D"/>
          <w:kern w:val="0"/>
          <w:lang w:eastAsia="en-GB"/>
          <w14:ligatures w14:val="none"/>
        </w:rPr>
        <w:t xml:space="preserve"> While the CASS rules mention a £25 de minimis for </w:t>
      </w:r>
      <w:r w:rsidRPr="009918D3">
        <w:rPr>
          <w:rFonts w:ascii="Arial" w:eastAsia="Times New Roman" w:hAnsi="Arial" w:cs="Arial"/>
          <w:i/>
          <w:iCs/>
          <w:color w:val="1B1C1D"/>
          <w:kern w:val="0"/>
          <w:bdr w:val="none" w:sz="0" w:space="0" w:color="auto" w:frame="1"/>
          <w:lang w:eastAsia="en-GB"/>
          <w14:ligatures w14:val="none"/>
        </w:rPr>
        <w:t>unclaimed client money</w:t>
      </w:r>
      <w:r w:rsidRPr="009918D3">
        <w:rPr>
          <w:rFonts w:ascii="Arial" w:eastAsia="Times New Roman" w:hAnsi="Arial" w:cs="Arial"/>
          <w:color w:val="1B1C1D"/>
          <w:kern w:val="0"/>
          <w:lang w:eastAsia="en-GB"/>
          <w14:ligatures w14:val="none"/>
        </w:rPr>
        <w:t xml:space="preserve"> </w:t>
      </w:r>
      <w:r w:rsidRPr="009918D3">
        <w:rPr>
          <w:rFonts w:ascii="Arial" w:eastAsia="Times New Roman" w:hAnsi="Arial" w:cs="Arial"/>
          <w:color w:val="575B5F"/>
          <w:kern w:val="0"/>
          <w:bdr w:val="none" w:sz="0" w:space="0" w:color="auto" w:frame="1"/>
          <w:vertAlign w:val="superscript"/>
          <w:lang w:eastAsia="en-GB"/>
          <w14:ligatures w14:val="none"/>
        </w:rPr>
        <w:t>11</w:t>
      </w:r>
      <w:r w:rsidRPr="009918D3">
        <w:rPr>
          <w:rFonts w:ascii="Arial" w:eastAsia="Times New Roman" w:hAnsi="Arial" w:cs="Arial"/>
          <w:color w:val="1B1C1D"/>
          <w:kern w:val="0"/>
          <w:lang w:eastAsia="en-GB"/>
          <w14:ligatures w14:val="none"/>
        </w:rPr>
        <w:t xml:space="preserve">, this is not applicable to remediation for bank errors that have caused harm. Regulators, including ASIC, emphasize making consumers "as closely as possible to the position they would have otherwise been in" </w:t>
      </w:r>
      <w:r w:rsidRPr="009918D3">
        <w:rPr>
          <w:rFonts w:ascii="Arial" w:eastAsia="Times New Roman" w:hAnsi="Arial" w:cs="Arial"/>
          <w:color w:val="575B5F"/>
          <w:kern w:val="0"/>
          <w:bdr w:val="none" w:sz="0" w:space="0" w:color="auto" w:frame="1"/>
          <w:vertAlign w:val="superscript"/>
          <w:lang w:eastAsia="en-GB"/>
          <w14:ligatures w14:val="none"/>
        </w:rPr>
        <w:t>12</w:t>
      </w:r>
      <w:r w:rsidRPr="009918D3">
        <w:rPr>
          <w:rFonts w:ascii="Arial" w:eastAsia="Times New Roman" w:hAnsi="Arial" w:cs="Arial"/>
          <w:color w:val="1B1C1D"/>
          <w:kern w:val="0"/>
          <w:lang w:eastAsia="en-GB"/>
          <w14:ligatures w14:val="none"/>
        </w:rPr>
        <w:t>, which a £15 payment for an error affecting a bereaved customer would likely not achieve.</w:t>
      </w:r>
    </w:p>
    <w:p w14:paraId="4FDF7398" w14:textId="77777777" w:rsidR="009918D3" w:rsidRPr="009918D3" w:rsidRDefault="009918D3" w:rsidP="009918D3">
      <w:pPr>
        <w:numPr>
          <w:ilvl w:val="0"/>
          <w:numId w:val="39"/>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Reputational Risk:</w:t>
      </w:r>
      <w:r w:rsidRPr="009918D3">
        <w:rPr>
          <w:rFonts w:ascii="Arial" w:eastAsia="Times New Roman" w:hAnsi="Arial" w:cs="Arial"/>
          <w:color w:val="1B1C1D"/>
          <w:kern w:val="0"/>
          <w:lang w:eastAsia="en-GB"/>
          <w14:ligatures w14:val="none"/>
        </w:rPr>
        <w:t xml:space="preserve"> Very High. This threshold is a prime candidate for negative media headlines and social media backlash, easily framed as a large bank "penny-pinching" from grieving families. The Bank of Queensland, for instance, faced sanctions and public condemnation for incorrectly charging deceased estates, even for small fees, due to "serious and systemic </w:t>
      </w:r>
      <w:r w:rsidRPr="009918D3">
        <w:rPr>
          <w:rFonts w:ascii="Arial" w:eastAsia="Times New Roman" w:hAnsi="Arial" w:cs="Arial"/>
          <w:color w:val="1B1C1D"/>
          <w:kern w:val="0"/>
          <w:lang w:eastAsia="en-GB"/>
          <w14:ligatures w14:val="none"/>
        </w:rPr>
        <w:lastRenderedPageBreak/>
        <w:t>breaches" and a "lack of urgency" in remediation.</w:t>
      </w:r>
      <w:r w:rsidRPr="009918D3">
        <w:rPr>
          <w:rFonts w:ascii="Arial" w:eastAsia="Times New Roman" w:hAnsi="Arial" w:cs="Arial"/>
          <w:color w:val="575B5F"/>
          <w:kern w:val="0"/>
          <w:bdr w:val="none" w:sz="0" w:space="0" w:color="auto" w:frame="1"/>
          <w:vertAlign w:val="superscript"/>
          <w:lang w:eastAsia="en-GB"/>
          <w14:ligatures w14:val="none"/>
        </w:rPr>
        <w:t>11</w:t>
      </w:r>
      <w:r w:rsidRPr="009918D3">
        <w:rPr>
          <w:rFonts w:ascii="Arial" w:eastAsia="Times New Roman" w:hAnsi="Arial" w:cs="Arial"/>
          <w:color w:val="1B1C1D"/>
          <w:kern w:val="0"/>
          <w:lang w:eastAsia="en-GB"/>
          <w14:ligatures w14:val="none"/>
        </w:rPr>
        <w:t xml:space="preserve"> A £15 de minimis invites similar scrutiny and can severely damage public trust.</w:t>
      </w:r>
      <w:r w:rsidRPr="009918D3">
        <w:rPr>
          <w:rFonts w:ascii="Arial" w:eastAsia="Times New Roman" w:hAnsi="Arial" w:cs="Arial"/>
          <w:color w:val="575B5F"/>
          <w:kern w:val="0"/>
          <w:bdr w:val="none" w:sz="0" w:space="0" w:color="auto" w:frame="1"/>
          <w:vertAlign w:val="superscript"/>
          <w:lang w:eastAsia="en-GB"/>
          <w14:ligatures w14:val="none"/>
        </w:rPr>
        <w:t>14</w:t>
      </w:r>
    </w:p>
    <w:p w14:paraId="4A6276D1" w14:textId="77777777" w:rsidR="009918D3" w:rsidRPr="009918D3" w:rsidRDefault="009918D3" w:rsidP="009918D3">
      <w:pPr>
        <w:spacing w:after="120" w:line="240" w:lineRule="auto"/>
        <w:outlineLvl w:val="2"/>
        <w:rPr>
          <w:rFonts w:ascii="Arial" w:eastAsia="Times New Roman" w:hAnsi="Arial" w:cs="Arial"/>
          <w:b/>
          <w:bCs/>
          <w:color w:val="1B1C1D"/>
          <w:kern w:val="0"/>
          <w:lang w:eastAsia="en-GB"/>
          <w14:ligatures w14:val="none"/>
        </w:rPr>
      </w:pPr>
      <w:r w:rsidRPr="009918D3">
        <w:rPr>
          <w:rFonts w:ascii="Arial" w:eastAsia="Times New Roman" w:hAnsi="Arial" w:cs="Arial"/>
          <w:b/>
          <w:bCs/>
          <w:color w:val="1B1C1D"/>
          <w:kern w:val="0"/>
          <w:lang w:eastAsia="en-GB"/>
          <w14:ligatures w14:val="none"/>
        </w:rPr>
        <w:t>2.2. £100 Threshold</w:t>
      </w:r>
    </w:p>
    <w:p w14:paraId="3E751FA5" w14:textId="77777777" w:rsidR="009918D3" w:rsidRPr="009918D3" w:rsidRDefault="009918D3" w:rsidP="009918D3">
      <w:pPr>
        <w:numPr>
          <w:ilvl w:val="0"/>
          <w:numId w:val="40"/>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Emotional Impact on Next-of-Kin:</w:t>
      </w:r>
      <w:r w:rsidRPr="009918D3">
        <w:rPr>
          <w:rFonts w:ascii="Arial" w:eastAsia="Times New Roman" w:hAnsi="Arial" w:cs="Arial"/>
          <w:color w:val="1B1C1D"/>
          <w:kern w:val="0"/>
          <w:lang w:eastAsia="en-GB"/>
          <w14:ligatures w14:val="none"/>
        </w:rPr>
        <w:t xml:space="preserve"> While an improvement over £15, a £100 refund, when split among 3-4 beneficiaries, yields £25 to £33.33 per person. This sum may still be perceived as relatively small given the emotional burden of re-engagement. It might not adequately convey the bank's empathy or commitment to genuinely supporting vulnerable customers, potentially still feeling like a bureaucratic exercise for a modest sum.</w:t>
      </w:r>
      <w:r w:rsidRPr="009918D3">
        <w:rPr>
          <w:rFonts w:ascii="Arial" w:eastAsia="Times New Roman" w:hAnsi="Arial" w:cs="Arial"/>
          <w:color w:val="575B5F"/>
          <w:kern w:val="0"/>
          <w:bdr w:val="none" w:sz="0" w:space="0" w:color="auto" w:frame="1"/>
          <w:vertAlign w:val="superscript"/>
          <w:lang w:eastAsia="en-GB"/>
          <w14:ligatures w14:val="none"/>
        </w:rPr>
        <w:t>1</w:t>
      </w:r>
    </w:p>
    <w:p w14:paraId="2E4BD01D" w14:textId="77777777" w:rsidR="009918D3" w:rsidRPr="009918D3" w:rsidRDefault="009918D3" w:rsidP="009918D3">
      <w:pPr>
        <w:numPr>
          <w:ilvl w:val="0"/>
          <w:numId w:val="40"/>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Financial Significance for Beneficiaries:</w:t>
      </w:r>
      <w:r w:rsidRPr="009918D3">
        <w:rPr>
          <w:rFonts w:ascii="Arial" w:eastAsia="Times New Roman" w:hAnsi="Arial" w:cs="Arial"/>
          <w:color w:val="1B1C1D"/>
          <w:kern w:val="0"/>
          <w:lang w:eastAsia="en-GB"/>
          <w14:ligatures w14:val="none"/>
        </w:rPr>
        <w:t xml:space="preserve"> A £100 payment offers limited financial relief. It may not be substantial enough to significantly alleviate the financial difficulties experienced by many bereaved individuals, particularly those who have had to borrow money for essentials.</w:t>
      </w:r>
      <w:r w:rsidRPr="009918D3">
        <w:rPr>
          <w:rFonts w:ascii="Arial" w:eastAsia="Times New Roman" w:hAnsi="Arial" w:cs="Arial"/>
          <w:color w:val="575B5F"/>
          <w:kern w:val="0"/>
          <w:bdr w:val="none" w:sz="0" w:space="0" w:color="auto" w:frame="1"/>
          <w:vertAlign w:val="superscript"/>
          <w:lang w:eastAsia="en-GB"/>
          <w14:ligatures w14:val="none"/>
        </w:rPr>
        <w:t>2</w:t>
      </w:r>
    </w:p>
    <w:p w14:paraId="2D7BB3D7" w14:textId="77777777" w:rsidR="009918D3" w:rsidRPr="009918D3" w:rsidRDefault="009918D3" w:rsidP="009918D3">
      <w:pPr>
        <w:numPr>
          <w:ilvl w:val="0"/>
          <w:numId w:val="40"/>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Operational Cost/Benefit Trade-off for the Bank:</w:t>
      </w:r>
      <w:r w:rsidRPr="009918D3">
        <w:rPr>
          <w:rFonts w:ascii="Arial" w:eastAsia="Times New Roman" w:hAnsi="Arial" w:cs="Arial"/>
          <w:color w:val="1B1C1D"/>
          <w:kern w:val="0"/>
          <w:lang w:eastAsia="en-GB"/>
          <w14:ligatures w14:val="none"/>
        </w:rPr>
        <w:t xml:space="preserve"> The operational return on investment for £100 cases is still suboptimal. While better than £15, the bank's systems and staff are still engaged in a high volume of relatively low-value cases. Resources consumed by processing numerous £100 remediations could be more effectively deployed towards preventative measures or higher-value customer issues.</w:t>
      </w:r>
      <w:r w:rsidRPr="009918D3">
        <w:rPr>
          <w:rFonts w:ascii="Arial" w:eastAsia="Times New Roman" w:hAnsi="Arial" w:cs="Arial"/>
          <w:color w:val="575B5F"/>
          <w:kern w:val="0"/>
          <w:bdr w:val="none" w:sz="0" w:space="0" w:color="auto" w:frame="1"/>
          <w:vertAlign w:val="superscript"/>
          <w:lang w:eastAsia="en-GB"/>
          <w14:ligatures w14:val="none"/>
        </w:rPr>
        <w:t>9</w:t>
      </w:r>
      <w:r w:rsidRPr="009918D3">
        <w:rPr>
          <w:rFonts w:ascii="Arial" w:eastAsia="Times New Roman" w:hAnsi="Arial" w:cs="Arial"/>
          <w:color w:val="1B1C1D"/>
          <w:kern w:val="0"/>
          <w:lang w:eastAsia="en-GB"/>
          <w14:ligatures w14:val="none"/>
        </w:rPr>
        <w:t xml:space="preserve"> Dissatisfaction from perceived inadequate remediation can still lead to further, avoidable customer contact and complaints, negating initial "savings".</w:t>
      </w:r>
      <w:r w:rsidRPr="009918D3">
        <w:rPr>
          <w:rFonts w:ascii="Arial" w:eastAsia="Times New Roman" w:hAnsi="Arial" w:cs="Arial"/>
          <w:color w:val="575B5F"/>
          <w:kern w:val="0"/>
          <w:bdr w:val="none" w:sz="0" w:space="0" w:color="auto" w:frame="1"/>
          <w:vertAlign w:val="superscript"/>
          <w:lang w:eastAsia="en-GB"/>
          <w14:ligatures w14:val="none"/>
        </w:rPr>
        <w:t>14</w:t>
      </w:r>
    </w:p>
    <w:p w14:paraId="7DAF07A2" w14:textId="77777777" w:rsidR="009918D3" w:rsidRPr="009918D3" w:rsidRDefault="009918D3" w:rsidP="009918D3">
      <w:pPr>
        <w:numPr>
          <w:ilvl w:val="0"/>
          <w:numId w:val="40"/>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Regulatory Alignment:</w:t>
      </w:r>
      <w:r w:rsidRPr="009918D3">
        <w:rPr>
          <w:rFonts w:ascii="Arial" w:eastAsia="Times New Roman" w:hAnsi="Arial" w:cs="Arial"/>
          <w:color w:val="1B1C1D"/>
          <w:kern w:val="0"/>
          <w:lang w:eastAsia="en-GB"/>
          <w14:ligatures w14:val="none"/>
        </w:rPr>
        <w:t xml:space="preserve"> This threshold may still be challenged by regulators as insufficient, particularly if the cumulative impact of errors on a bereaved customer is perceived to be greater than this amount. It might not consistently meet the regulatory emphasis on "giving consumers the benefit of the doubt" and "minimizing the risk of under-compensation".</w:t>
      </w:r>
      <w:r w:rsidRPr="009918D3">
        <w:rPr>
          <w:rFonts w:ascii="Arial" w:eastAsia="Times New Roman" w:hAnsi="Arial" w:cs="Arial"/>
          <w:color w:val="575B5F"/>
          <w:kern w:val="0"/>
          <w:bdr w:val="none" w:sz="0" w:space="0" w:color="auto" w:frame="1"/>
          <w:vertAlign w:val="superscript"/>
          <w:lang w:eastAsia="en-GB"/>
          <w14:ligatures w14:val="none"/>
        </w:rPr>
        <w:t>12</w:t>
      </w:r>
    </w:p>
    <w:p w14:paraId="3EC4CB76" w14:textId="77777777" w:rsidR="009918D3" w:rsidRPr="009918D3" w:rsidRDefault="009918D3" w:rsidP="009918D3">
      <w:pPr>
        <w:numPr>
          <w:ilvl w:val="0"/>
          <w:numId w:val="40"/>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Reputational Risk:</w:t>
      </w:r>
      <w:r w:rsidRPr="009918D3">
        <w:rPr>
          <w:rFonts w:ascii="Arial" w:eastAsia="Times New Roman" w:hAnsi="Arial" w:cs="Arial"/>
          <w:color w:val="1B1C1D"/>
          <w:kern w:val="0"/>
          <w:lang w:eastAsia="en-GB"/>
          <w14:ligatures w14:val="none"/>
        </w:rPr>
        <w:t xml:space="preserve"> High. While less severe than £15, a £100 de minimis can still be portrayed as insufficient, especially if a bereaved customer's story of significant financial struggle is highlighted. It might not meet public expectations of corporate social responsibility and genuine care, leaving the bank vulnerable to criticism.</w:t>
      </w:r>
      <w:r w:rsidRPr="009918D3">
        <w:rPr>
          <w:rFonts w:ascii="Arial" w:eastAsia="Times New Roman" w:hAnsi="Arial" w:cs="Arial"/>
          <w:color w:val="575B5F"/>
          <w:kern w:val="0"/>
          <w:bdr w:val="none" w:sz="0" w:space="0" w:color="auto" w:frame="1"/>
          <w:vertAlign w:val="superscript"/>
          <w:lang w:eastAsia="en-GB"/>
          <w14:ligatures w14:val="none"/>
        </w:rPr>
        <w:t>14</w:t>
      </w:r>
    </w:p>
    <w:p w14:paraId="1EBE4037" w14:textId="77777777" w:rsidR="009918D3" w:rsidRPr="009918D3" w:rsidRDefault="009918D3" w:rsidP="009918D3">
      <w:pPr>
        <w:spacing w:after="120" w:line="240" w:lineRule="auto"/>
        <w:outlineLvl w:val="2"/>
        <w:rPr>
          <w:rFonts w:ascii="Arial" w:eastAsia="Times New Roman" w:hAnsi="Arial" w:cs="Arial"/>
          <w:b/>
          <w:bCs/>
          <w:color w:val="1B1C1D"/>
          <w:kern w:val="0"/>
          <w:lang w:eastAsia="en-GB"/>
          <w14:ligatures w14:val="none"/>
        </w:rPr>
      </w:pPr>
      <w:r w:rsidRPr="009918D3">
        <w:rPr>
          <w:rFonts w:ascii="Arial" w:eastAsia="Times New Roman" w:hAnsi="Arial" w:cs="Arial"/>
          <w:b/>
          <w:bCs/>
          <w:color w:val="1B1C1D"/>
          <w:kern w:val="0"/>
          <w:lang w:eastAsia="en-GB"/>
          <w14:ligatures w14:val="none"/>
        </w:rPr>
        <w:t>2.3. £250 Threshold</w:t>
      </w:r>
    </w:p>
    <w:p w14:paraId="03B2495D" w14:textId="77777777" w:rsidR="009918D3" w:rsidRPr="009918D3" w:rsidRDefault="009918D3" w:rsidP="009918D3">
      <w:pPr>
        <w:numPr>
          <w:ilvl w:val="0"/>
          <w:numId w:val="41"/>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Emotional Impact on Next-of-Kin:</w:t>
      </w:r>
      <w:r w:rsidRPr="009918D3">
        <w:rPr>
          <w:rFonts w:ascii="Arial" w:eastAsia="Times New Roman" w:hAnsi="Arial" w:cs="Arial"/>
          <w:color w:val="1B1C1D"/>
          <w:kern w:val="0"/>
          <w:lang w:eastAsia="en-GB"/>
          <w14:ligatures w14:val="none"/>
        </w:rPr>
        <w:t xml:space="preserve"> This threshold offers a more substantial and tangible amount. When split among 3-4 beneficiaries, it yields £62.50 to £83.33 per person. This sum moves beyond tokenism to offer practical relief, genuinely assisting with immediate, unexpected costs associated with bereavement. It signals a higher level of empathy and commitment from the bank, aligning with the FCA's expectation for flexible and tailored support for vulnerable customers.</w:t>
      </w:r>
      <w:r w:rsidRPr="009918D3">
        <w:rPr>
          <w:rFonts w:ascii="Arial" w:eastAsia="Times New Roman" w:hAnsi="Arial" w:cs="Arial"/>
          <w:color w:val="575B5F"/>
          <w:kern w:val="0"/>
          <w:bdr w:val="none" w:sz="0" w:space="0" w:color="auto" w:frame="1"/>
          <w:vertAlign w:val="superscript"/>
          <w:lang w:eastAsia="en-GB"/>
          <w14:ligatures w14:val="none"/>
        </w:rPr>
        <w:t>3</w:t>
      </w:r>
      <w:r w:rsidRPr="009918D3">
        <w:rPr>
          <w:rFonts w:ascii="Arial" w:eastAsia="Times New Roman" w:hAnsi="Arial" w:cs="Arial"/>
          <w:color w:val="1B1C1D"/>
          <w:kern w:val="0"/>
          <w:lang w:eastAsia="en-GB"/>
          <w14:ligatures w14:val="none"/>
        </w:rPr>
        <w:t xml:space="preserve"> It significantly reduces the feeling of being contacted for "pennies," demonstrating a more respectful approach to the bereaved.</w:t>
      </w:r>
    </w:p>
    <w:p w14:paraId="69B51DEB" w14:textId="77777777" w:rsidR="009918D3" w:rsidRPr="009918D3" w:rsidRDefault="009918D3" w:rsidP="009918D3">
      <w:pPr>
        <w:numPr>
          <w:ilvl w:val="0"/>
          <w:numId w:val="41"/>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Financial Significance for Beneficiaries:</w:t>
      </w:r>
      <w:r w:rsidRPr="009918D3">
        <w:rPr>
          <w:rFonts w:ascii="Arial" w:eastAsia="Times New Roman" w:hAnsi="Arial" w:cs="Arial"/>
          <w:color w:val="1B1C1D"/>
          <w:kern w:val="0"/>
          <w:lang w:eastAsia="en-GB"/>
          <w14:ligatures w14:val="none"/>
        </w:rPr>
        <w:t xml:space="preserve"> A £250 payment can genuinely assist with unexpected costs or contribute meaningfully to alleviating broader financial strain during bereavement. This level of support can proactively mitigate financial stress, thereby indirectly supporting the bereaved individual's emotional well-being, consistent with research showing the link between financial pressures and emotional health during grief.</w:t>
      </w:r>
      <w:r w:rsidRPr="009918D3">
        <w:rPr>
          <w:rFonts w:ascii="Arial" w:eastAsia="Times New Roman" w:hAnsi="Arial" w:cs="Arial"/>
          <w:color w:val="575B5F"/>
          <w:kern w:val="0"/>
          <w:bdr w:val="none" w:sz="0" w:space="0" w:color="auto" w:frame="1"/>
          <w:vertAlign w:val="superscript"/>
          <w:lang w:eastAsia="en-GB"/>
          <w14:ligatures w14:val="none"/>
        </w:rPr>
        <w:t>2</w:t>
      </w:r>
    </w:p>
    <w:p w14:paraId="6449B5DB" w14:textId="77777777" w:rsidR="009918D3" w:rsidRPr="009918D3" w:rsidRDefault="009918D3" w:rsidP="009918D3">
      <w:pPr>
        <w:numPr>
          <w:ilvl w:val="0"/>
          <w:numId w:val="41"/>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Operational Cost/Benefit Trade-off for the Bank:</w:t>
      </w:r>
      <w:r w:rsidRPr="009918D3">
        <w:rPr>
          <w:rFonts w:ascii="Arial" w:eastAsia="Times New Roman" w:hAnsi="Arial" w:cs="Arial"/>
          <w:color w:val="1B1C1D"/>
          <w:kern w:val="0"/>
          <w:lang w:eastAsia="en-GB"/>
          <w14:ligatures w14:val="none"/>
        </w:rPr>
        <w:t xml:space="preserve"> This threshold strikes an optimal balance, significantly reducing the volume of cases where the operational cost of remediation outweighs the customer benefit. This leads to </w:t>
      </w:r>
      <w:r w:rsidRPr="009918D3">
        <w:rPr>
          <w:rFonts w:ascii="Arial" w:eastAsia="Times New Roman" w:hAnsi="Arial" w:cs="Arial"/>
          <w:color w:val="1B1C1D"/>
          <w:kern w:val="0"/>
          <w:lang w:eastAsia="en-GB"/>
          <w14:ligatures w14:val="none"/>
        </w:rPr>
        <w:lastRenderedPageBreak/>
        <w:t>reduced administrative burden, fewer inbound customer queries about small amounts, and less need for detailed reconciliation for minor sums. Staff can re-focus efforts on more complex cases and proactive improvements to core bereavement processes, aligning with FCA expectations for efficient resource allocation.</w:t>
      </w:r>
      <w:r w:rsidRPr="009918D3">
        <w:rPr>
          <w:rFonts w:ascii="Arial" w:eastAsia="Times New Roman" w:hAnsi="Arial" w:cs="Arial"/>
          <w:color w:val="575B5F"/>
          <w:kern w:val="0"/>
          <w:bdr w:val="none" w:sz="0" w:space="0" w:color="auto" w:frame="1"/>
          <w:vertAlign w:val="superscript"/>
          <w:lang w:eastAsia="en-GB"/>
          <w14:ligatures w14:val="none"/>
        </w:rPr>
        <w:t>9</w:t>
      </w:r>
    </w:p>
    <w:p w14:paraId="7AD28B91" w14:textId="77777777" w:rsidR="009918D3" w:rsidRPr="009918D3" w:rsidRDefault="009918D3" w:rsidP="009918D3">
      <w:pPr>
        <w:numPr>
          <w:ilvl w:val="0"/>
          <w:numId w:val="41"/>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Regulatory Alignment:</w:t>
      </w:r>
      <w:r w:rsidRPr="009918D3">
        <w:rPr>
          <w:rFonts w:ascii="Arial" w:eastAsia="Times New Roman" w:hAnsi="Arial" w:cs="Arial"/>
          <w:color w:val="1B1C1D"/>
          <w:kern w:val="0"/>
          <w:lang w:eastAsia="en-GB"/>
          <w14:ligatures w14:val="none"/>
        </w:rPr>
        <w:t xml:space="preserve"> A £250 de minimis aligns strongly with the spirit and intent of the Consumer Duty's "fair value" and "good outcomes" principles for vulnerable customers.</w:t>
      </w:r>
      <w:r w:rsidRPr="009918D3">
        <w:rPr>
          <w:rFonts w:ascii="Arial" w:eastAsia="Times New Roman" w:hAnsi="Arial" w:cs="Arial"/>
          <w:color w:val="575B5F"/>
          <w:kern w:val="0"/>
          <w:bdr w:val="none" w:sz="0" w:space="0" w:color="auto" w:frame="1"/>
          <w:vertAlign w:val="superscript"/>
          <w:lang w:eastAsia="en-GB"/>
          <w14:ligatures w14:val="none"/>
        </w:rPr>
        <w:t>4</w:t>
      </w:r>
      <w:r w:rsidRPr="009918D3">
        <w:rPr>
          <w:rFonts w:ascii="Arial" w:eastAsia="Times New Roman" w:hAnsi="Arial" w:cs="Arial"/>
          <w:color w:val="1B1C1D"/>
          <w:kern w:val="0"/>
          <w:lang w:eastAsia="en-GB"/>
          <w14:ligatures w14:val="none"/>
        </w:rPr>
        <w:t xml:space="preserve"> It demonstrates a proactive and customer-centric approach that minimizes the risk of under-compensation and gives the customer the "benefit of the doubt".</w:t>
      </w:r>
      <w:r w:rsidRPr="009918D3">
        <w:rPr>
          <w:rFonts w:ascii="Arial" w:eastAsia="Times New Roman" w:hAnsi="Arial" w:cs="Arial"/>
          <w:color w:val="575B5F"/>
          <w:kern w:val="0"/>
          <w:bdr w:val="none" w:sz="0" w:space="0" w:color="auto" w:frame="1"/>
          <w:vertAlign w:val="superscript"/>
          <w:lang w:eastAsia="en-GB"/>
          <w14:ligatures w14:val="none"/>
        </w:rPr>
        <w:t>12</w:t>
      </w:r>
      <w:r w:rsidRPr="009918D3">
        <w:rPr>
          <w:rFonts w:ascii="Arial" w:eastAsia="Times New Roman" w:hAnsi="Arial" w:cs="Arial"/>
          <w:color w:val="1B1C1D"/>
          <w:kern w:val="0"/>
          <w:lang w:eastAsia="en-GB"/>
          <w14:ligatures w14:val="none"/>
        </w:rPr>
        <w:t xml:space="preserve"> This proactive stance can be viewed </w:t>
      </w:r>
      <w:proofErr w:type="spellStart"/>
      <w:r w:rsidRPr="009918D3">
        <w:rPr>
          <w:rFonts w:ascii="Arial" w:eastAsia="Times New Roman" w:hAnsi="Arial" w:cs="Arial"/>
          <w:color w:val="1B1C1D"/>
          <w:kern w:val="0"/>
          <w:lang w:eastAsia="en-GB"/>
          <w14:ligatures w14:val="none"/>
        </w:rPr>
        <w:t>favorably</w:t>
      </w:r>
      <w:proofErr w:type="spellEnd"/>
      <w:r w:rsidRPr="009918D3">
        <w:rPr>
          <w:rFonts w:ascii="Arial" w:eastAsia="Times New Roman" w:hAnsi="Arial" w:cs="Arial"/>
          <w:color w:val="1B1C1D"/>
          <w:kern w:val="0"/>
          <w:lang w:eastAsia="en-GB"/>
          <w14:ligatures w14:val="none"/>
        </w:rPr>
        <w:t xml:space="preserve"> by regulators, reducing exposure to criticism and sanctions.</w:t>
      </w:r>
      <w:r w:rsidRPr="009918D3">
        <w:rPr>
          <w:rFonts w:ascii="Arial" w:eastAsia="Times New Roman" w:hAnsi="Arial" w:cs="Arial"/>
          <w:color w:val="575B5F"/>
          <w:kern w:val="0"/>
          <w:bdr w:val="none" w:sz="0" w:space="0" w:color="auto" w:frame="1"/>
          <w:vertAlign w:val="superscript"/>
          <w:lang w:eastAsia="en-GB"/>
          <w14:ligatures w14:val="none"/>
        </w:rPr>
        <w:t>13</w:t>
      </w:r>
    </w:p>
    <w:p w14:paraId="7A4120EC" w14:textId="77777777" w:rsidR="009918D3" w:rsidRPr="009918D3" w:rsidRDefault="009918D3" w:rsidP="009918D3">
      <w:pPr>
        <w:numPr>
          <w:ilvl w:val="0"/>
          <w:numId w:val="41"/>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Reputational Risk:</w:t>
      </w:r>
      <w:r w:rsidRPr="009918D3">
        <w:rPr>
          <w:rFonts w:ascii="Arial" w:eastAsia="Times New Roman" w:hAnsi="Arial" w:cs="Arial"/>
          <w:color w:val="1B1C1D"/>
          <w:kern w:val="0"/>
          <w:lang w:eastAsia="en-GB"/>
          <w14:ligatures w14:val="none"/>
        </w:rPr>
        <w:t xml:space="preserve"> Low. This threshold demonstrates a clear and tangible commitment to customer well-being and corporate responsibility. It positions the bank as empathetic, caring, and genuinely supportive, reducing the likelihood of negative media stories or social media outrage. It fosters a positive narrative of proactive customer care and accountability, enhancing trust and long-term customer loyalty.</w:t>
      </w:r>
      <w:r w:rsidRPr="009918D3">
        <w:rPr>
          <w:rFonts w:ascii="Arial" w:eastAsia="Times New Roman" w:hAnsi="Arial" w:cs="Arial"/>
          <w:color w:val="575B5F"/>
          <w:kern w:val="0"/>
          <w:bdr w:val="none" w:sz="0" w:space="0" w:color="auto" w:frame="1"/>
          <w:vertAlign w:val="superscript"/>
          <w:lang w:eastAsia="en-GB"/>
          <w14:ligatures w14:val="none"/>
        </w:rPr>
        <w:t>14</w:t>
      </w:r>
    </w:p>
    <w:p w14:paraId="2F99097A" w14:textId="77777777" w:rsidR="009918D3" w:rsidRPr="009918D3" w:rsidRDefault="009918D3" w:rsidP="009918D3">
      <w:pPr>
        <w:spacing w:after="120" w:line="240" w:lineRule="auto"/>
        <w:outlineLvl w:val="1"/>
        <w:rPr>
          <w:rFonts w:ascii="Arial" w:eastAsia="Times New Roman" w:hAnsi="Arial" w:cs="Arial"/>
          <w:b/>
          <w:bCs/>
          <w:color w:val="1B1C1D"/>
          <w:kern w:val="0"/>
          <w:sz w:val="30"/>
          <w:szCs w:val="30"/>
          <w:lang w:eastAsia="en-GB"/>
          <w14:ligatures w14:val="none"/>
        </w:rPr>
      </w:pPr>
      <w:r w:rsidRPr="009918D3">
        <w:rPr>
          <w:rFonts w:ascii="Arial" w:eastAsia="Times New Roman" w:hAnsi="Arial" w:cs="Arial"/>
          <w:b/>
          <w:bCs/>
          <w:color w:val="1B1C1D"/>
          <w:kern w:val="0"/>
          <w:sz w:val="30"/>
          <w:szCs w:val="30"/>
          <w:lang w:eastAsia="en-GB"/>
          <w14:ligatures w14:val="none"/>
        </w:rPr>
        <w:t>3. Comparative Analysis of De Minimis Thresholds</w:t>
      </w:r>
    </w:p>
    <w:p w14:paraId="1D0D5E05" w14:textId="77777777" w:rsidR="009918D3" w:rsidRPr="009918D3" w:rsidRDefault="009918D3" w:rsidP="009918D3">
      <w:pPr>
        <w:spacing w:after="24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The following table provides a clear, structured comparison of the three proposed de minimis thresholds across the key dimensions discussed.</w:t>
      </w:r>
    </w:p>
    <w:tbl>
      <w:tblPr>
        <w:tblW w:w="0" w:type="auto"/>
        <w:tblCellSpacing w:w="15" w:type="dxa"/>
        <w:tblCellMar>
          <w:left w:w="0" w:type="dxa"/>
          <w:right w:w="0" w:type="dxa"/>
        </w:tblCellMar>
        <w:tblLook w:val="04A0" w:firstRow="1" w:lastRow="0" w:firstColumn="1" w:lastColumn="0" w:noHBand="0" w:noVBand="1"/>
      </w:tblPr>
      <w:tblGrid>
        <w:gridCol w:w="1792"/>
        <w:gridCol w:w="2119"/>
        <w:gridCol w:w="2539"/>
        <w:gridCol w:w="2560"/>
      </w:tblGrid>
      <w:tr w:rsidR="009918D3" w:rsidRPr="009918D3" w14:paraId="20A8AF61" w14:textId="77777777" w:rsidTr="009918D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DCB159"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b/>
                <w:bCs/>
                <w:color w:val="1B1C1D"/>
                <w:kern w:val="0"/>
                <w:sz w:val="21"/>
                <w:szCs w:val="21"/>
                <w:bdr w:val="none" w:sz="0" w:space="0" w:color="auto" w:frame="1"/>
                <w:lang w:eastAsia="en-GB"/>
                <w14:ligatures w14:val="none"/>
              </w:rPr>
              <w:t>Feature / Threshold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8C5A68"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b/>
                <w:bCs/>
                <w:color w:val="1B1C1D"/>
                <w:kern w:val="0"/>
                <w:sz w:val="21"/>
                <w:szCs w:val="21"/>
                <w:bdr w:val="none" w:sz="0" w:space="0" w:color="auto" w:frame="1"/>
                <w:lang w:eastAsia="en-GB"/>
                <w14:ligatures w14:val="none"/>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750EAA"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b/>
                <w:bCs/>
                <w:color w:val="1B1C1D"/>
                <w:kern w:val="0"/>
                <w:sz w:val="21"/>
                <w:szCs w:val="21"/>
                <w:bdr w:val="none" w:sz="0" w:space="0" w:color="auto" w:frame="1"/>
                <w:lang w:eastAsia="en-GB"/>
                <w14:ligatures w14:val="none"/>
              </w:rPr>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C06327"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b/>
                <w:bCs/>
                <w:color w:val="1B1C1D"/>
                <w:kern w:val="0"/>
                <w:sz w:val="21"/>
                <w:szCs w:val="21"/>
                <w:bdr w:val="none" w:sz="0" w:space="0" w:color="auto" w:frame="1"/>
                <w:lang w:eastAsia="en-GB"/>
                <w14:ligatures w14:val="none"/>
              </w:rPr>
              <w:t>£250</w:t>
            </w:r>
          </w:p>
        </w:tc>
      </w:tr>
      <w:tr w:rsidR="009918D3" w:rsidRPr="009918D3" w14:paraId="64609333" w14:textId="77777777" w:rsidTr="009918D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5CD869"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b/>
                <w:bCs/>
                <w:color w:val="1B1C1D"/>
                <w:kern w:val="0"/>
                <w:sz w:val="21"/>
                <w:szCs w:val="21"/>
                <w:bdr w:val="none" w:sz="0" w:space="0" w:color="auto" w:frame="1"/>
                <w:lang w:eastAsia="en-GB"/>
                <w14:ligatures w14:val="none"/>
              </w:rPr>
              <w:t>Emotional Impact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E6E227"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Tokenistic, re-traumatizing, insulting (e.g., £3.75-£5/beneficiary)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7EB9E1"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Limited relief, still administrative burden (e.g., £25-£33.33/beneficiary)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ADB0B3"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Tangible support, meaningful gesture (e.g., £62.50-£83.33/beneficiary)</w:t>
            </w:r>
          </w:p>
        </w:tc>
      </w:tr>
      <w:tr w:rsidR="009918D3" w:rsidRPr="009918D3" w14:paraId="3F5C7F99" w14:textId="77777777" w:rsidTr="009918D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FBF300"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b/>
                <w:bCs/>
                <w:color w:val="1B1C1D"/>
                <w:kern w:val="0"/>
                <w:sz w:val="21"/>
                <w:szCs w:val="21"/>
                <w:bdr w:val="none" w:sz="0" w:space="0" w:color="auto" w:frame="1"/>
                <w:lang w:eastAsia="en-GB"/>
                <w14:ligatures w14:val="none"/>
              </w:rPr>
              <w:t>Financial Significance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A64148"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Negligible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2351C7"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Modest, often insufficient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52B56"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Meaningful, practical assistance</w:t>
            </w:r>
          </w:p>
        </w:tc>
      </w:tr>
      <w:tr w:rsidR="009918D3" w:rsidRPr="009918D3" w14:paraId="58BB5977" w14:textId="77777777" w:rsidTr="009918D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7E613"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b/>
                <w:bCs/>
                <w:color w:val="1B1C1D"/>
                <w:kern w:val="0"/>
                <w:sz w:val="21"/>
                <w:szCs w:val="21"/>
                <w:bdr w:val="none" w:sz="0" w:space="0" w:color="auto" w:frame="1"/>
                <w:lang w:eastAsia="en-GB"/>
                <w14:ligatures w14:val="none"/>
              </w:rPr>
              <w:t>Operational Cost/Benefit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624A69"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Negative ROI, high administrative friction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CD5A04"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Suboptimal ROI, moderate friction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0303F3"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Optimal ROI, streamlined processes</w:t>
            </w:r>
          </w:p>
        </w:tc>
      </w:tr>
      <w:tr w:rsidR="009918D3" w:rsidRPr="009918D3" w14:paraId="6D5397D5" w14:textId="77777777" w:rsidTr="009918D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64226B"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b/>
                <w:bCs/>
                <w:color w:val="1B1C1D"/>
                <w:kern w:val="0"/>
                <w:sz w:val="21"/>
                <w:szCs w:val="21"/>
                <w:bdr w:val="none" w:sz="0" w:space="0" w:color="auto" w:frame="1"/>
                <w:lang w:eastAsia="en-GB"/>
                <w14:ligatures w14:val="none"/>
              </w:rPr>
              <w:t>Regulatory Alignment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8923D5"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Poor, contradicts Consumer Duty spirit, high scrutiny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308EBA"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Questionable, invites scrutiny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E04213"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Strong, aligns with Consumer Duty, low scrutiny risk</w:t>
            </w:r>
          </w:p>
        </w:tc>
      </w:tr>
      <w:tr w:rsidR="009918D3" w:rsidRPr="009918D3" w14:paraId="49ABCE35" w14:textId="77777777" w:rsidTr="009918D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F4CAC7"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b/>
                <w:bCs/>
                <w:color w:val="1B1C1D"/>
                <w:kern w:val="0"/>
                <w:sz w:val="21"/>
                <w:szCs w:val="21"/>
                <w:bdr w:val="none" w:sz="0" w:space="0" w:color="auto" w:frame="1"/>
                <w:lang w:eastAsia="en-GB"/>
                <w14:ligatures w14:val="none"/>
              </w:rPr>
              <w:t>Reputational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140CA2"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Very High (e.g., "penny-pinching" headlines)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35829D"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High (perceived as bare minimum)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E079C2" w14:textId="77777777" w:rsidR="009918D3" w:rsidRPr="009918D3" w:rsidRDefault="009918D3" w:rsidP="009918D3">
            <w:pPr>
              <w:spacing w:after="0" w:line="240" w:lineRule="auto"/>
              <w:rPr>
                <w:rFonts w:ascii="Arial" w:eastAsia="Times New Roman" w:hAnsi="Arial" w:cs="Arial"/>
                <w:color w:val="1B1C1D"/>
                <w:kern w:val="0"/>
                <w:sz w:val="21"/>
                <w:szCs w:val="21"/>
                <w:lang w:eastAsia="en-GB"/>
                <w14:ligatures w14:val="none"/>
              </w:rPr>
            </w:pPr>
            <w:r w:rsidRPr="009918D3">
              <w:rPr>
                <w:rFonts w:ascii="Arial" w:eastAsia="Times New Roman" w:hAnsi="Arial" w:cs="Arial"/>
                <w:color w:val="1B1C1D"/>
                <w:kern w:val="0"/>
                <w:sz w:val="21"/>
                <w:szCs w:val="21"/>
                <w:lang w:eastAsia="en-GB"/>
                <w14:ligatures w14:val="none"/>
              </w:rPr>
              <w:t>Low (perceived as empathetic, responsible)</w:t>
            </w:r>
          </w:p>
        </w:tc>
      </w:tr>
    </w:tbl>
    <w:p w14:paraId="5F12B313" w14:textId="77777777" w:rsidR="009918D3" w:rsidRPr="009918D3" w:rsidRDefault="009918D3" w:rsidP="009918D3">
      <w:pPr>
        <w:spacing w:after="120" w:line="240" w:lineRule="auto"/>
        <w:outlineLvl w:val="1"/>
        <w:rPr>
          <w:rFonts w:ascii="Arial" w:eastAsia="Times New Roman" w:hAnsi="Arial" w:cs="Arial"/>
          <w:b/>
          <w:bCs/>
          <w:color w:val="1B1C1D"/>
          <w:kern w:val="0"/>
          <w:sz w:val="30"/>
          <w:szCs w:val="30"/>
          <w:lang w:eastAsia="en-GB"/>
          <w14:ligatures w14:val="none"/>
        </w:rPr>
      </w:pPr>
      <w:r w:rsidRPr="009918D3">
        <w:rPr>
          <w:rFonts w:ascii="Arial" w:eastAsia="Times New Roman" w:hAnsi="Arial" w:cs="Arial"/>
          <w:b/>
          <w:bCs/>
          <w:color w:val="1B1C1D"/>
          <w:kern w:val="0"/>
          <w:sz w:val="30"/>
          <w:szCs w:val="30"/>
          <w:lang w:eastAsia="en-GB"/>
          <w14:ligatures w14:val="none"/>
        </w:rPr>
        <w:t>4. Ranking of Thresholds</w:t>
      </w:r>
    </w:p>
    <w:p w14:paraId="6B6CC85A" w14:textId="77777777" w:rsidR="009918D3" w:rsidRPr="009918D3" w:rsidRDefault="009918D3" w:rsidP="009918D3">
      <w:pPr>
        <w:spacing w:after="12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Based on the comprehensive analysis across all critical dimensions, the ranking of the three values from most to least optimal for use as the de minimis amount is:</w:t>
      </w:r>
    </w:p>
    <w:p w14:paraId="474F067A" w14:textId="77777777" w:rsidR="009918D3" w:rsidRPr="009918D3" w:rsidRDefault="009918D3" w:rsidP="009918D3">
      <w:pPr>
        <w:numPr>
          <w:ilvl w:val="0"/>
          <w:numId w:val="42"/>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lastRenderedPageBreak/>
        <w:t>£250</w:t>
      </w:r>
    </w:p>
    <w:p w14:paraId="3DB851CF" w14:textId="77777777" w:rsidR="009918D3" w:rsidRPr="009918D3" w:rsidRDefault="009918D3" w:rsidP="009918D3">
      <w:pPr>
        <w:numPr>
          <w:ilvl w:val="0"/>
          <w:numId w:val="42"/>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£100</w:t>
      </w:r>
    </w:p>
    <w:p w14:paraId="632743B8" w14:textId="77777777" w:rsidR="009918D3" w:rsidRPr="009918D3" w:rsidRDefault="009918D3" w:rsidP="009918D3">
      <w:pPr>
        <w:numPr>
          <w:ilvl w:val="0"/>
          <w:numId w:val="42"/>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£15</w:t>
      </w:r>
    </w:p>
    <w:p w14:paraId="745DDBA8" w14:textId="77777777" w:rsidR="009918D3" w:rsidRPr="009918D3" w:rsidRDefault="009918D3" w:rsidP="009918D3">
      <w:pPr>
        <w:spacing w:after="120" w:line="240" w:lineRule="auto"/>
        <w:outlineLvl w:val="1"/>
        <w:rPr>
          <w:rFonts w:ascii="Arial" w:eastAsia="Times New Roman" w:hAnsi="Arial" w:cs="Arial"/>
          <w:b/>
          <w:bCs/>
          <w:color w:val="1B1C1D"/>
          <w:kern w:val="0"/>
          <w:sz w:val="30"/>
          <w:szCs w:val="30"/>
          <w:lang w:eastAsia="en-GB"/>
          <w14:ligatures w14:val="none"/>
        </w:rPr>
      </w:pPr>
      <w:r w:rsidRPr="009918D3">
        <w:rPr>
          <w:rFonts w:ascii="Arial" w:eastAsia="Times New Roman" w:hAnsi="Arial" w:cs="Arial"/>
          <w:b/>
          <w:bCs/>
          <w:color w:val="1B1C1D"/>
          <w:kern w:val="0"/>
          <w:sz w:val="30"/>
          <w:szCs w:val="30"/>
          <w:lang w:eastAsia="en-GB"/>
          <w14:ligatures w14:val="none"/>
        </w:rPr>
        <w:t>5. Proposed Fallback Threshold</w:t>
      </w:r>
    </w:p>
    <w:p w14:paraId="4FC0B8DC" w14:textId="77777777" w:rsidR="009918D3" w:rsidRPr="009918D3" w:rsidRDefault="009918D3" w:rsidP="009918D3">
      <w:p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 xml:space="preserve">While our analysis strongly advocates for £250 as the optimal de minimis threshold, should internal constraints (e.g., budget limitations) necessitate a compromise, an ideal fallback threshold would be </w:t>
      </w:r>
      <w:r w:rsidRPr="009918D3">
        <w:rPr>
          <w:rFonts w:ascii="Arial" w:eastAsia="Times New Roman" w:hAnsi="Arial" w:cs="Arial"/>
          <w:b/>
          <w:bCs/>
          <w:color w:val="1B1C1D"/>
          <w:kern w:val="0"/>
          <w:bdr w:val="none" w:sz="0" w:space="0" w:color="auto" w:frame="1"/>
          <w:lang w:eastAsia="en-GB"/>
          <w14:ligatures w14:val="none"/>
        </w:rPr>
        <w:t>£200</w:t>
      </w:r>
      <w:r w:rsidRPr="009918D3">
        <w:rPr>
          <w:rFonts w:ascii="Arial" w:eastAsia="Times New Roman" w:hAnsi="Arial" w:cs="Arial"/>
          <w:color w:val="1B1C1D"/>
          <w:kern w:val="0"/>
          <w:lang w:eastAsia="en-GB"/>
          <w14:ligatures w14:val="none"/>
        </w:rPr>
        <w:t>.</w:t>
      </w:r>
    </w:p>
    <w:p w14:paraId="2F80C14A" w14:textId="77777777" w:rsidR="009918D3" w:rsidRPr="009918D3" w:rsidRDefault="009918D3" w:rsidP="009918D3">
      <w:pPr>
        <w:spacing w:after="100" w:afterAutospacing="1"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Justification for £200 as a Fallback:</w:t>
      </w:r>
    </w:p>
    <w:p w14:paraId="798406E6" w14:textId="77777777" w:rsidR="009918D3" w:rsidRPr="009918D3" w:rsidRDefault="009918D3" w:rsidP="009918D3">
      <w:pPr>
        <w:spacing w:after="100" w:afterAutospacing="1"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A £200 threshold, when distributed among 3-4 beneficiaries, would still provide £50 to £66.67 per person. This amount remains significantly more meaningful than £15 or £100, offering a more tangible form of support that is less likely to be perceived as trivial or insulting. Operationally, it would still allow the bank to waive a substantial number of low-value cases, maintaining much of the efficiency gains of the £250 threshold compared to lower options. From a regulatory and reputational standpoint, £200 is a stronger position than £100, demonstrating a greater commitment to customer well-being and reducing the risk of negative perception. It represents a pragmatic middle ground that retains many of the benefits of the optimal £250 while potentially addressing specific internal cost considerations.</w:t>
      </w:r>
    </w:p>
    <w:p w14:paraId="5909AFA5" w14:textId="77777777" w:rsidR="009918D3" w:rsidRPr="009918D3" w:rsidRDefault="009918D3" w:rsidP="009918D3">
      <w:pPr>
        <w:spacing w:after="120" w:line="240" w:lineRule="auto"/>
        <w:outlineLvl w:val="1"/>
        <w:rPr>
          <w:rFonts w:ascii="Arial" w:eastAsia="Times New Roman" w:hAnsi="Arial" w:cs="Arial"/>
          <w:b/>
          <w:bCs/>
          <w:color w:val="1B1C1D"/>
          <w:kern w:val="0"/>
          <w:sz w:val="30"/>
          <w:szCs w:val="30"/>
          <w:lang w:eastAsia="en-GB"/>
          <w14:ligatures w14:val="none"/>
        </w:rPr>
      </w:pPr>
      <w:r w:rsidRPr="009918D3">
        <w:rPr>
          <w:rFonts w:ascii="Arial" w:eastAsia="Times New Roman" w:hAnsi="Arial" w:cs="Arial"/>
          <w:b/>
          <w:bCs/>
          <w:color w:val="1B1C1D"/>
          <w:kern w:val="0"/>
          <w:sz w:val="30"/>
          <w:szCs w:val="30"/>
          <w:lang w:eastAsia="en-GB"/>
          <w14:ligatures w14:val="none"/>
        </w:rPr>
        <w:t>6. Post-Closure Remediation: Timelines and Thresholds</w:t>
      </w:r>
    </w:p>
    <w:p w14:paraId="63A44427" w14:textId="77777777" w:rsidR="009918D3" w:rsidRPr="009918D3" w:rsidRDefault="009918D3" w:rsidP="009918D3">
      <w:pPr>
        <w:spacing w:after="12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Remediation triggered long after an estate has been closed (e.g., up to 15 years later) presents a unique and highly sensitive challenge. The emotional cost of re-contacting a bereaved family years after they have processed their grief and closed the estate cannot be overstated.</w:t>
      </w:r>
    </w:p>
    <w:p w14:paraId="2FD765A2" w14:textId="77777777" w:rsidR="009918D3" w:rsidRPr="009918D3" w:rsidRDefault="009918D3" w:rsidP="009918D3">
      <w:pPr>
        <w:numPr>
          <w:ilvl w:val="0"/>
          <w:numId w:val="43"/>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Emotional Cost of Reopening Memories:</w:t>
      </w:r>
      <w:r w:rsidRPr="009918D3">
        <w:rPr>
          <w:rFonts w:ascii="Arial" w:eastAsia="Times New Roman" w:hAnsi="Arial" w:cs="Arial"/>
          <w:color w:val="1B1C1D"/>
          <w:kern w:val="0"/>
          <w:lang w:eastAsia="en-GB"/>
          <w14:ligatures w14:val="none"/>
        </w:rPr>
        <w:t xml:space="preserve"> Grief is rarely "tidy" and can be compounded by "secondary losses," including financial ones.</w:t>
      </w:r>
      <w:r w:rsidRPr="009918D3">
        <w:rPr>
          <w:rFonts w:ascii="Arial" w:eastAsia="Times New Roman" w:hAnsi="Arial" w:cs="Arial"/>
          <w:color w:val="575B5F"/>
          <w:kern w:val="0"/>
          <w:bdr w:val="none" w:sz="0" w:space="0" w:color="auto" w:frame="1"/>
          <w:vertAlign w:val="superscript"/>
          <w:lang w:eastAsia="en-GB"/>
          <w14:ligatures w14:val="none"/>
        </w:rPr>
        <w:t>15</w:t>
      </w:r>
      <w:r w:rsidRPr="009918D3">
        <w:rPr>
          <w:rFonts w:ascii="Arial" w:eastAsia="Times New Roman" w:hAnsi="Arial" w:cs="Arial"/>
          <w:color w:val="1B1C1D"/>
          <w:kern w:val="0"/>
          <w:lang w:eastAsia="en-GB"/>
          <w14:ligatures w14:val="none"/>
        </w:rPr>
        <w:t xml:space="preserve"> Re-contacting individuals years later, especially for a bank error, can trigger "cumulative grief" or "bereavement overload," bringing back unresolved pain and forcing them to revisit a traumatic period they may have worked hard to move past.</w:t>
      </w:r>
      <w:r w:rsidRPr="009918D3">
        <w:rPr>
          <w:rFonts w:ascii="Arial" w:eastAsia="Times New Roman" w:hAnsi="Arial" w:cs="Arial"/>
          <w:color w:val="575B5F"/>
          <w:kern w:val="0"/>
          <w:bdr w:val="none" w:sz="0" w:space="0" w:color="auto" w:frame="1"/>
          <w:vertAlign w:val="superscript"/>
          <w:lang w:eastAsia="en-GB"/>
          <w14:ligatures w14:val="none"/>
        </w:rPr>
        <w:t>16</w:t>
      </w:r>
      <w:r w:rsidRPr="009918D3">
        <w:rPr>
          <w:rFonts w:ascii="Arial" w:eastAsia="Times New Roman" w:hAnsi="Arial" w:cs="Arial"/>
          <w:color w:val="1B1C1D"/>
          <w:kern w:val="0"/>
          <w:lang w:eastAsia="en-GB"/>
          <w14:ligatures w14:val="none"/>
        </w:rPr>
        <w:t xml:space="preserve"> Even if the initial loss was years ago, a new reminder can bring back the emotional intensity, potentially causing significant distress and disrupting their current emotional equilibrium.</w:t>
      </w:r>
      <w:r w:rsidRPr="009918D3">
        <w:rPr>
          <w:rFonts w:ascii="Arial" w:eastAsia="Times New Roman" w:hAnsi="Arial" w:cs="Arial"/>
          <w:color w:val="575B5F"/>
          <w:kern w:val="0"/>
          <w:bdr w:val="none" w:sz="0" w:space="0" w:color="auto" w:frame="1"/>
          <w:vertAlign w:val="superscript"/>
          <w:lang w:eastAsia="en-GB"/>
          <w14:ligatures w14:val="none"/>
        </w:rPr>
        <w:t>16</w:t>
      </w:r>
      <w:r w:rsidRPr="009918D3">
        <w:rPr>
          <w:rFonts w:ascii="Arial" w:eastAsia="Times New Roman" w:hAnsi="Arial" w:cs="Arial"/>
          <w:color w:val="1B1C1D"/>
          <w:kern w:val="0"/>
          <w:lang w:eastAsia="en-GB"/>
          <w14:ligatures w14:val="none"/>
        </w:rPr>
        <w:t xml:space="preserve"> This re-engagement can also reignite family conflicts that may have subsided over time, particularly concerning financial matters or possessions.</w:t>
      </w:r>
      <w:r w:rsidRPr="009918D3">
        <w:rPr>
          <w:rFonts w:ascii="Arial" w:eastAsia="Times New Roman" w:hAnsi="Arial" w:cs="Arial"/>
          <w:color w:val="575B5F"/>
          <w:kern w:val="0"/>
          <w:bdr w:val="none" w:sz="0" w:space="0" w:color="auto" w:frame="1"/>
          <w:vertAlign w:val="superscript"/>
          <w:lang w:eastAsia="en-GB"/>
          <w14:ligatures w14:val="none"/>
        </w:rPr>
        <w:t>17</w:t>
      </w:r>
    </w:p>
    <w:p w14:paraId="7562CD0B" w14:textId="77777777" w:rsidR="009918D3" w:rsidRPr="009918D3" w:rsidRDefault="009918D3" w:rsidP="009918D3">
      <w:pPr>
        <w:numPr>
          <w:ilvl w:val="0"/>
          <w:numId w:val="43"/>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Estate Practices and Expectations:</w:t>
      </w:r>
      <w:r w:rsidRPr="009918D3">
        <w:rPr>
          <w:rFonts w:ascii="Arial" w:eastAsia="Times New Roman" w:hAnsi="Arial" w:cs="Arial"/>
          <w:color w:val="1B1C1D"/>
          <w:kern w:val="0"/>
          <w:lang w:eastAsia="en-GB"/>
          <w14:ligatures w14:val="none"/>
        </w:rPr>
        <w:t xml:space="preserve"> Estates are typically administered and closed within a year or two. Contacting beneficiaries 5, 10, or 15 years later is highly unusual and goes against the natural closure of the bereavement process.</w:t>
      </w:r>
    </w:p>
    <w:p w14:paraId="6A610CFD" w14:textId="77777777" w:rsidR="009918D3" w:rsidRPr="009918D3" w:rsidRDefault="009918D3" w:rsidP="009918D3">
      <w:pPr>
        <w:numPr>
          <w:ilvl w:val="0"/>
          <w:numId w:val="43"/>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Bank Reputation Management:</w:t>
      </w:r>
      <w:r w:rsidRPr="009918D3">
        <w:rPr>
          <w:rFonts w:ascii="Arial" w:eastAsia="Times New Roman" w:hAnsi="Arial" w:cs="Arial"/>
          <w:color w:val="1B1C1D"/>
          <w:kern w:val="0"/>
          <w:lang w:eastAsia="en-GB"/>
          <w14:ligatures w14:val="none"/>
        </w:rPr>
        <w:t xml:space="preserve"> Reopening old wounds for anything less than a truly substantial sum would be a significant reputational risk. It would be perceived as profoundly insensitive, exploitative, and could lead to widespread public condemnation, far outweighing any financial benefit to the bank.</w:t>
      </w:r>
      <w:r w:rsidRPr="009918D3">
        <w:rPr>
          <w:rFonts w:ascii="Arial" w:eastAsia="Times New Roman" w:hAnsi="Arial" w:cs="Arial"/>
          <w:color w:val="575B5F"/>
          <w:kern w:val="0"/>
          <w:bdr w:val="none" w:sz="0" w:space="0" w:color="auto" w:frame="1"/>
          <w:vertAlign w:val="superscript"/>
          <w:lang w:eastAsia="en-GB"/>
          <w14:ligatures w14:val="none"/>
        </w:rPr>
        <w:t>14</w:t>
      </w:r>
      <w:r w:rsidRPr="009918D3">
        <w:rPr>
          <w:rFonts w:ascii="Arial" w:eastAsia="Times New Roman" w:hAnsi="Arial" w:cs="Arial"/>
          <w:color w:val="1B1C1D"/>
          <w:kern w:val="0"/>
          <w:lang w:eastAsia="en-GB"/>
          <w14:ligatures w14:val="none"/>
        </w:rPr>
        <w:t xml:space="preserve"> The narrative would be one of a large institution causing unnecessary pain for a minor financial correction.</w:t>
      </w:r>
    </w:p>
    <w:p w14:paraId="283C38A1" w14:textId="77777777" w:rsidR="009918D3" w:rsidRPr="009918D3" w:rsidRDefault="009918D3" w:rsidP="009918D3">
      <w:pPr>
        <w:spacing w:after="100" w:afterAutospacing="1"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Meaningful Financial Threshold for Post-Closure Remediation:</w:t>
      </w:r>
    </w:p>
    <w:p w14:paraId="29552F7D" w14:textId="77777777" w:rsidR="009918D3" w:rsidRPr="009918D3" w:rsidRDefault="009918D3" w:rsidP="009918D3">
      <w:pPr>
        <w:spacing w:after="100" w:afterAutospacing="1"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lastRenderedPageBreak/>
        <w:t>Given the severe emotional cost of re-engagement years after an estate's closure, the financial threshold to warrant contact must be significantly higher than the standard de minimis. It must be a sum that genuinely and materially impacts the beneficiary's financial situation, providing a clear and undeniable benefit that outweighs the emotional burden of re-contact.</w:t>
      </w:r>
    </w:p>
    <w:p w14:paraId="440B8E53" w14:textId="77777777" w:rsidR="009918D3" w:rsidRPr="009918D3" w:rsidRDefault="009918D3" w:rsidP="009918D3">
      <w:p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 xml:space="preserve">Qualitatively, this threshold should be at least </w:t>
      </w:r>
      <w:r w:rsidRPr="009918D3">
        <w:rPr>
          <w:rFonts w:ascii="Arial" w:eastAsia="Times New Roman" w:hAnsi="Arial" w:cs="Arial"/>
          <w:b/>
          <w:bCs/>
          <w:color w:val="1B1C1D"/>
          <w:kern w:val="0"/>
          <w:bdr w:val="none" w:sz="0" w:space="0" w:color="auto" w:frame="1"/>
          <w:lang w:eastAsia="en-GB"/>
          <w14:ligatures w14:val="none"/>
        </w:rPr>
        <w:t>£500, and ideally £1,000 or more</w:t>
      </w:r>
      <w:r w:rsidRPr="009918D3">
        <w:rPr>
          <w:rFonts w:ascii="Arial" w:eastAsia="Times New Roman" w:hAnsi="Arial" w:cs="Arial"/>
          <w:color w:val="1B1C1D"/>
          <w:kern w:val="0"/>
          <w:lang w:eastAsia="en-GB"/>
          <w14:ligatures w14:val="none"/>
        </w:rPr>
        <w:t>. A sum of this magnitude could, for example, cover a significant unexpected expense, contribute to a major life event, or provide a noticeable improvement to financial security. For anything less, the bank's policy should be to internally write off the amount or make a charitable payment, without contacting the bereaved. The principle here is that the bank should only cause this emotional disruption if the financial benefit to the individual is truly transformative and unequivocally justifies the potential distress.</w:t>
      </w:r>
    </w:p>
    <w:p w14:paraId="0A5FDDAC" w14:textId="77777777" w:rsidR="009918D3" w:rsidRPr="009918D3" w:rsidRDefault="009918D3" w:rsidP="009918D3">
      <w:pPr>
        <w:spacing w:after="120" w:line="240" w:lineRule="auto"/>
        <w:outlineLvl w:val="1"/>
        <w:rPr>
          <w:rFonts w:ascii="Arial" w:eastAsia="Times New Roman" w:hAnsi="Arial" w:cs="Arial"/>
          <w:b/>
          <w:bCs/>
          <w:color w:val="1B1C1D"/>
          <w:kern w:val="0"/>
          <w:sz w:val="30"/>
          <w:szCs w:val="30"/>
          <w:lang w:eastAsia="en-GB"/>
          <w14:ligatures w14:val="none"/>
        </w:rPr>
      </w:pPr>
      <w:r w:rsidRPr="009918D3">
        <w:rPr>
          <w:rFonts w:ascii="Arial" w:eastAsia="Times New Roman" w:hAnsi="Arial" w:cs="Arial"/>
          <w:b/>
          <w:bCs/>
          <w:color w:val="1B1C1D"/>
          <w:kern w:val="0"/>
          <w:sz w:val="30"/>
          <w:szCs w:val="30"/>
          <w:lang w:eastAsia="en-GB"/>
          <w14:ligatures w14:val="none"/>
        </w:rPr>
        <w:t>7. Override Policies</w:t>
      </w:r>
    </w:p>
    <w:p w14:paraId="1AC7C8F5" w14:textId="77777777" w:rsidR="009918D3" w:rsidRPr="009918D3" w:rsidRDefault="009918D3" w:rsidP="009918D3">
      <w:pPr>
        <w:spacing w:after="12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To ensure the bank maintains flexibility and upholds its commitment to fair treatment, the £250 de minimis threshold (or any chosen threshold) should be subject to clear override rules:</w:t>
      </w:r>
    </w:p>
    <w:p w14:paraId="7D751EB1" w14:textId="77777777" w:rsidR="009918D3" w:rsidRPr="009918D3" w:rsidRDefault="009918D3" w:rsidP="009918D3">
      <w:pPr>
        <w:numPr>
          <w:ilvl w:val="0"/>
          <w:numId w:val="44"/>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Customer Hardship or Extreme Vulnerability:</w:t>
      </w:r>
      <w:r w:rsidRPr="009918D3">
        <w:rPr>
          <w:rFonts w:ascii="Arial" w:eastAsia="Times New Roman" w:hAnsi="Arial" w:cs="Arial"/>
          <w:color w:val="1B1C1D"/>
          <w:kern w:val="0"/>
          <w:lang w:eastAsia="en-GB"/>
          <w14:ligatures w14:val="none"/>
        </w:rPr>
        <w:t xml:space="preserve"> If the bereaved customer explicitly communicates or demonstrates significant financial hardship (e.g., inability to cover essential costs, reliance on high-cost borrowing </w:t>
      </w:r>
      <w:r w:rsidRPr="009918D3">
        <w:rPr>
          <w:rFonts w:ascii="Arial" w:eastAsia="Times New Roman" w:hAnsi="Arial" w:cs="Arial"/>
          <w:color w:val="575B5F"/>
          <w:kern w:val="0"/>
          <w:bdr w:val="none" w:sz="0" w:space="0" w:color="auto" w:frame="1"/>
          <w:vertAlign w:val="superscript"/>
          <w:lang w:eastAsia="en-GB"/>
          <w14:ligatures w14:val="none"/>
        </w:rPr>
        <w:t>2</w:t>
      </w:r>
      <w:r w:rsidRPr="009918D3">
        <w:rPr>
          <w:rFonts w:ascii="Arial" w:eastAsia="Times New Roman" w:hAnsi="Arial" w:cs="Arial"/>
          <w:color w:val="1B1C1D"/>
          <w:kern w:val="0"/>
          <w:lang w:eastAsia="en-GB"/>
          <w14:ligatures w14:val="none"/>
        </w:rPr>
        <w:t>), or exhibits characteristics of extreme vulnerability (e.g., severe mental health impact from bereavement, cognitive impairment), the threshold should be overridden. The FCA emphasizes providing "flexible and tailored support" and "stepping outside of procedure" for vulnerable customers.</w:t>
      </w:r>
      <w:r w:rsidRPr="009918D3">
        <w:rPr>
          <w:rFonts w:ascii="Arial" w:eastAsia="Times New Roman" w:hAnsi="Arial" w:cs="Arial"/>
          <w:color w:val="575B5F"/>
          <w:kern w:val="0"/>
          <w:bdr w:val="none" w:sz="0" w:space="0" w:color="auto" w:frame="1"/>
          <w:vertAlign w:val="superscript"/>
          <w:lang w:eastAsia="en-GB"/>
          <w14:ligatures w14:val="none"/>
        </w:rPr>
        <w:t>3</w:t>
      </w:r>
    </w:p>
    <w:p w14:paraId="11275547" w14:textId="77777777" w:rsidR="009918D3" w:rsidRPr="009918D3" w:rsidRDefault="009918D3" w:rsidP="009918D3">
      <w:pPr>
        <w:numPr>
          <w:ilvl w:val="0"/>
          <w:numId w:val="44"/>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Cumulative Impact of Multiple Errors:</w:t>
      </w:r>
      <w:r w:rsidRPr="009918D3">
        <w:rPr>
          <w:rFonts w:ascii="Arial" w:eastAsia="Times New Roman" w:hAnsi="Arial" w:cs="Arial"/>
          <w:color w:val="1B1C1D"/>
          <w:kern w:val="0"/>
          <w:lang w:eastAsia="en-GB"/>
          <w14:ligatures w14:val="none"/>
        </w:rPr>
        <w:t xml:space="preserve"> If a customer has been affected by multiple small errors, where each individual error falls below the de minimis, but their cumulative financial or emotional impact is significant, the threshold should be overridden. This aligns with regulatory expectations for firms to "understand the nature, extent and impact of the misconduct".</w:t>
      </w:r>
      <w:r w:rsidRPr="009918D3">
        <w:rPr>
          <w:rFonts w:ascii="Arial" w:eastAsia="Times New Roman" w:hAnsi="Arial" w:cs="Arial"/>
          <w:color w:val="575B5F"/>
          <w:kern w:val="0"/>
          <w:bdr w:val="none" w:sz="0" w:space="0" w:color="auto" w:frame="1"/>
          <w:vertAlign w:val="superscript"/>
          <w:lang w:eastAsia="en-GB"/>
          <w14:ligatures w14:val="none"/>
        </w:rPr>
        <w:t>12</w:t>
      </w:r>
    </w:p>
    <w:p w14:paraId="2CFF4AB4" w14:textId="77777777" w:rsidR="009918D3" w:rsidRPr="009918D3" w:rsidRDefault="009918D3" w:rsidP="009918D3">
      <w:pPr>
        <w:numPr>
          <w:ilvl w:val="0"/>
          <w:numId w:val="44"/>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Systemic Failure or Significant Bank Error:</w:t>
      </w:r>
      <w:r w:rsidRPr="009918D3">
        <w:rPr>
          <w:rFonts w:ascii="Arial" w:eastAsia="Times New Roman" w:hAnsi="Arial" w:cs="Arial"/>
          <w:color w:val="1B1C1D"/>
          <w:kern w:val="0"/>
          <w:lang w:eastAsia="en-GB"/>
          <w14:ligatures w14:val="none"/>
        </w:rPr>
        <w:t xml:space="preserve"> If the error leading to remediation is identified as part of a broader systemic failure, a significant bank-initiated operational error, or a breach of internal controls (e.g., similar to the issues identified with Bank of Queensland improperly charging deceased accounts </w:t>
      </w:r>
      <w:r w:rsidRPr="009918D3">
        <w:rPr>
          <w:rFonts w:ascii="Arial" w:eastAsia="Times New Roman" w:hAnsi="Arial" w:cs="Arial"/>
          <w:color w:val="575B5F"/>
          <w:kern w:val="0"/>
          <w:bdr w:val="none" w:sz="0" w:space="0" w:color="auto" w:frame="1"/>
          <w:vertAlign w:val="superscript"/>
          <w:lang w:eastAsia="en-GB"/>
          <w14:ligatures w14:val="none"/>
        </w:rPr>
        <w:t>13</w:t>
      </w:r>
      <w:r w:rsidRPr="009918D3">
        <w:rPr>
          <w:rFonts w:ascii="Arial" w:eastAsia="Times New Roman" w:hAnsi="Arial" w:cs="Arial"/>
          <w:color w:val="1B1C1D"/>
          <w:kern w:val="0"/>
          <w:lang w:eastAsia="en-GB"/>
          <w14:ligatures w14:val="none"/>
        </w:rPr>
        <w:t>), the de minimis should not apply. Full remediation should occur regardless of the individual amount to demonstrate accountability and prevent the bank from "profit[</w:t>
      </w:r>
      <w:proofErr w:type="spellStart"/>
      <w:r w:rsidRPr="009918D3">
        <w:rPr>
          <w:rFonts w:ascii="Arial" w:eastAsia="Times New Roman" w:hAnsi="Arial" w:cs="Arial"/>
          <w:color w:val="1B1C1D"/>
          <w:kern w:val="0"/>
          <w:lang w:eastAsia="en-GB"/>
          <w14:ligatures w14:val="none"/>
        </w:rPr>
        <w:t>ing</w:t>
      </w:r>
      <w:proofErr w:type="spellEnd"/>
      <w:r w:rsidRPr="009918D3">
        <w:rPr>
          <w:rFonts w:ascii="Arial" w:eastAsia="Times New Roman" w:hAnsi="Arial" w:cs="Arial"/>
          <w:color w:val="1B1C1D"/>
          <w:kern w:val="0"/>
          <w:lang w:eastAsia="en-GB"/>
          <w14:ligatures w14:val="none"/>
        </w:rPr>
        <w:t>] from the misconduct or other failure".</w:t>
      </w:r>
      <w:r w:rsidRPr="009918D3">
        <w:rPr>
          <w:rFonts w:ascii="Arial" w:eastAsia="Times New Roman" w:hAnsi="Arial" w:cs="Arial"/>
          <w:color w:val="575B5F"/>
          <w:kern w:val="0"/>
          <w:bdr w:val="none" w:sz="0" w:space="0" w:color="auto" w:frame="1"/>
          <w:vertAlign w:val="superscript"/>
          <w:lang w:eastAsia="en-GB"/>
          <w14:ligatures w14:val="none"/>
        </w:rPr>
        <w:t>12</w:t>
      </w:r>
    </w:p>
    <w:p w14:paraId="58E1A0EC" w14:textId="77777777" w:rsidR="009918D3" w:rsidRPr="009918D3" w:rsidRDefault="009918D3" w:rsidP="009918D3">
      <w:pPr>
        <w:numPr>
          <w:ilvl w:val="0"/>
          <w:numId w:val="44"/>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Formal Customer Complaint/Dispute:</w:t>
      </w:r>
      <w:r w:rsidRPr="009918D3">
        <w:rPr>
          <w:rFonts w:ascii="Arial" w:eastAsia="Times New Roman" w:hAnsi="Arial" w:cs="Arial"/>
          <w:color w:val="1B1C1D"/>
          <w:kern w:val="0"/>
          <w:lang w:eastAsia="en-GB"/>
          <w14:ligatures w14:val="none"/>
        </w:rPr>
        <w:t xml:space="preserve"> If a customer formally complains about an amount that falls below the de minimis, the bank should review the case individually and consider overriding the threshold. This ensures complaint resolution, maintains customer satisfaction, and prevents escalation to external bodies.</w:t>
      </w:r>
    </w:p>
    <w:p w14:paraId="62E76D27" w14:textId="77777777" w:rsidR="009918D3" w:rsidRPr="009918D3" w:rsidRDefault="009918D3" w:rsidP="009918D3">
      <w:pPr>
        <w:numPr>
          <w:ilvl w:val="0"/>
          <w:numId w:val="44"/>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Legal or Regulatory Mandate:</w:t>
      </w:r>
      <w:r w:rsidRPr="009918D3">
        <w:rPr>
          <w:rFonts w:ascii="Arial" w:eastAsia="Times New Roman" w:hAnsi="Arial" w:cs="Arial"/>
          <w:color w:val="1B1C1D"/>
          <w:kern w:val="0"/>
          <w:lang w:eastAsia="en-GB"/>
          <w14:ligatures w14:val="none"/>
        </w:rPr>
        <w:t xml:space="preserve"> If a specific legal, regulatory, or ombudsman directive mandates remediation for a particular type of error, or for a specific customer, irrespective of the amount, the threshold must be overridden.</w:t>
      </w:r>
    </w:p>
    <w:p w14:paraId="63534ED4" w14:textId="77777777" w:rsidR="009918D3" w:rsidRPr="009918D3" w:rsidRDefault="009918D3" w:rsidP="009918D3">
      <w:pPr>
        <w:spacing w:after="120" w:line="240" w:lineRule="auto"/>
        <w:outlineLvl w:val="1"/>
        <w:rPr>
          <w:rFonts w:ascii="Arial" w:eastAsia="Times New Roman" w:hAnsi="Arial" w:cs="Arial"/>
          <w:b/>
          <w:bCs/>
          <w:color w:val="1B1C1D"/>
          <w:kern w:val="0"/>
          <w:sz w:val="30"/>
          <w:szCs w:val="30"/>
          <w:lang w:eastAsia="en-GB"/>
          <w14:ligatures w14:val="none"/>
        </w:rPr>
      </w:pPr>
      <w:r w:rsidRPr="009918D3">
        <w:rPr>
          <w:rFonts w:ascii="Arial" w:eastAsia="Times New Roman" w:hAnsi="Arial" w:cs="Arial"/>
          <w:b/>
          <w:bCs/>
          <w:color w:val="1B1C1D"/>
          <w:kern w:val="0"/>
          <w:sz w:val="30"/>
          <w:szCs w:val="30"/>
          <w:lang w:eastAsia="en-GB"/>
          <w14:ligatures w14:val="none"/>
        </w:rPr>
        <w:t>8. Conclusion and Recommendation</w:t>
      </w:r>
    </w:p>
    <w:p w14:paraId="0E03F6CE" w14:textId="77777777" w:rsidR="009918D3" w:rsidRPr="009918D3" w:rsidRDefault="009918D3" w:rsidP="009918D3">
      <w:p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 xml:space="preserve">The evaluation unequivocally demonstrates that a </w:t>
      </w:r>
      <w:r w:rsidRPr="009918D3">
        <w:rPr>
          <w:rFonts w:ascii="Arial" w:eastAsia="Times New Roman" w:hAnsi="Arial" w:cs="Arial"/>
          <w:b/>
          <w:bCs/>
          <w:color w:val="1B1C1D"/>
          <w:kern w:val="0"/>
          <w:bdr w:val="none" w:sz="0" w:space="0" w:color="auto" w:frame="1"/>
          <w:lang w:eastAsia="en-GB"/>
          <w14:ligatures w14:val="none"/>
        </w:rPr>
        <w:t>£250 de minimis threshold</w:t>
      </w:r>
      <w:r w:rsidRPr="009918D3">
        <w:rPr>
          <w:rFonts w:ascii="Arial" w:eastAsia="Times New Roman" w:hAnsi="Arial" w:cs="Arial"/>
          <w:color w:val="1B1C1D"/>
          <w:kern w:val="0"/>
          <w:lang w:eastAsia="en-GB"/>
          <w14:ligatures w14:val="none"/>
        </w:rPr>
        <w:t xml:space="preserve"> is the most optimal choice for the bank's bereavement remediation program. It strikes the </w:t>
      </w:r>
      <w:r w:rsidRPr="009918D3">
        <w:rPr>
          <w:rFonts w:ascii="Arial" w:eastAsia="Times New Roman" w:hAnsi="Arial" w:cs="Arial"/>
          <w:color w:val="1B1C1D"/>
          <w:kern w:val="0"/>
          <w:lang w:eastAsia="en-GB"/>
          <w14:ligatures w14:val="none"/>
        </w:rPr>
        <w:lastRenderedPageBreak/>
        <w:t>ideal balance between humanitarian empathy, meaningful financial impact for beneficiaries, operational efficiency, and robust regulatory alignment, while proactively mitigating significant reputational risks. Lower thresholds are shown to be counterproductive, causing unnecessary distress and operational inefficiencies without providing meaningful benefit.</w:t>
      </w:r>
    </w:p>
    <w:p w14:paraId="492003DE" w14:textId="77777777" w:rsidR="009918D3" w:rsidRPr="009918D3" w:rsidRDefault="009918D3" w:rsidP="009918D3">
      <w:p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Recommendation:</w:t>
      </w:r>
    </w:p>
    <w:p w14:paraId="6C413CFA" w14:textId="77777777" w:rsidR="009918D3" w:rsidRPr="009918D3" w:rsidRDefault="009918D3" w:rsidP="009918D3">
      <w:pPr>
        <w:numPr>
          <w:ilvl w:val="0"/>
          <w:numId w:val="45"/>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Adopt a £250 de minimis threshold</w:t>
      </w:r>
      <w:r w:rsidRPr="009918D3">
        <w:rPr>
          <w:rFonts w:ascii="Arial" w:eastAsia="Times New Roman" w:hAnsi="Arial" w:cs="Arial"/>
          <w:color w:val="1B1C1D"/>
          <w:kern w:val="0"/>
          <w:lang w:eastAsia="en-GB"/>
          <w14:ligatures w14:val="none"/>
        </w:rPr>
        <w:t xml:space="preserve"> for all proactive bereavement remediation outreach.</w:t>
      </w:r>
    </w:p>
    <w:p w14:paraId="1DCD4127" w14:textId="77777777" w:rsidR="009918D3" w:rsidRPr="009918D3" w:rsidRDefault="009918D3" w:rsidP="009918D3">
      <w:pPr>
        <w:numPr>
          <w:ilvl w:val="0"/>
          <w:numId w:val="45"/>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b/>
          <w:bCs/>
          <w:color w:val="1B1C1D"/>
          <w:kern w:val="0"/>
          <w:bdr w:val="none" w:sz="0" w:space="0" w:color="auto" w:frame="1"/>
          <w:lang w:eastAsia="en-GB"/>
          <w14:ligatures w14:val="none"/>
        </w:rPr>
        <w:t>Implement the proposed override rules</w:t>
      </w:r>
      <w:r w:rsidRPr="009918D3">
        <w:rPr>
          <w:rFonts w:ascii="Arial" w:eastAsia="Times New Roman" w:hAnsi="Arial" w:cs="Arial"/>
          <w:color w:val="1B1C1D"/>
          <w:kern w:val="0"/>
          <w:lang w:eastAsia="en-GB"/>
          <w14:ligatures w14:val="none"/>
        </w:rPr>
        <w:t xml:space="preserve"> to ensure flexibility and continued customer-centricity for vulnerable customers and exceptional circumstances.</w:t>
      </w:r>
    </w:p>
    <w:p w14:paraId="66493215" w14:textId="77777777" w:rsidR="009918D3" w:rsidRPr="009918D3" w:rsidRDefault="009918D3" w:rsidP="009918D3">
      <w:pPr>
        <w:numPr>
          <w:ilvl w:val="0"/>
          <w:numId w:val="45"/>
        </w:numPr>
        <w:spacing w:after="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 xml:space="preserve">For remediation triggered </w:t>
      </w:r>
      <w:r w:rsidRPr="009918D3">
        <w:rPr>
          <w:rFonts w:ascii="Arial" w:eastAsia="Times New Roman" w:hAnsi="Arial" w:cs="Arial"/>
          <w:b/>
          <w:bCs/>
          <w:color w:val="1B1C1D"/>
          <w:kern w:val="0"/>
          <w:bdr w:val="none" w:sz="0" w:space="0" w:color="auto" w:frame="1"/>
          <w:lang w:eastAsia="en-GB"/>
          <w14:ligatures w14:val="none"/>
        </w:rPr>
        <w:t>long after an estate's closure (e.g., 5+ years)</w:t>
      </w:r>
      <w:r w:rsidRPr="009918D3">
        <w:rPr>
          <w:rFonts w:ascii="Arial" w:eastAsia="Times New Roman" w:hAnsi="Arial" w:cs="Arial"/>
          <w:color w:val="1B1C1D"/>
          <w:kern w:val="0"/>
          <w:lang w:eastAsia="en-GB"/>
          <w14:ligatures w14:val="none"/>
        </w:rPr>
        <w:t xml:space="preserve">, establish a significantly higher threshold, ideally </w:t>
      </w:r>
      <w:r w:rsidRPr="009918D3">
        <w:rPr>
          <w:rFonts w:ascii="Arial" w:eastAsia="Times New Roman" w:hAnsi="Arial" w:cs="Arial"/>
          <w:b/>
          <w:bCs/>
          <w:color w:val="1B1C1D"/>
          <w:kern w:val="0"/>
          <w:bdr w:val="none" w:sz="0" w:space="0" w:color="auto" w:frame="1"/>
          <w:lang w:eastAsia="en-GB"/>
          <w14:ligatures w14:val="none"/>
        </w:rPr>
        <w:t>£500 or more</w:t>
      </w:r>
      <w:r w:rsidRPr="009918D3">
        <w:rPr>
          <w:rFonts w:ascii="Arial" w:eastAsia="Times New Roman" w:hAnsi="Arial" w:cs="Arial"/>
          <w:color w:val="1B1C1D"/>
          <w:kern w:val="0"/>
          <w:lang w:eastAsia="en-GB"/>
          <w14:ligatures w14:val="none"/>
        </w:rPr>
        <w:t>, to justify the emotional cost of re-engagement. For amounts below this, the bank should internally write off the sum or make a charitable payment without contacting the family.</w:t>
      </w:r>
    </w:p>
    <w:p w14:paraId="21134352" w14:textId="77777777" w:rsidR="009918D3" w:rsidRPr="009918D3" w:rsidRDefault="009918D3" w:rsidP="009918D3">
      <w:pPr>
        <w:spacing w:after="240" w:line="240" w:lineRule="auto"/>
        <w:rPr>
          <w:rFonts w:ascii="Arial" w:eastAsia="Times New Roman" w:hAnsi="Arial" w:cs="Arial"/>
          <w:color w:val="1B1C1D"/>
          <w:kern w:val="0"/>
          <w:lang w:eastAsia="en-GB"/>
          <w14:ligatures w14:val="none"/>
        </w:rPr>
      </w:pPr>
      <w:r w:rsidRPr="009918D3">
        <w:rPr>
          <w:rFonts w:ascii="Arial" w:eastAsia="Times New Roman" w:hAnsi="Arial" w:cs="Arial"/>
          <w:color w:val="1B1C1D"/>
          <w:kern w:val="0"/>
          <w:lang w:eastAsia="en-GB"/>
          <w14:ligatures w14:val="none"/>
        </w:rPr>
        <w:t xml:space="preserve">This strategic approach will not only enhance the bank's ethical standing and </w:t>
      </w:r>
      <w:proofErr w:type="spellStart"/>
      <w:r w:rsidRPr="009918D3">
        <w:rPr>
          <w:rFonts w:ascii="Arial" w:eastAsia="Times New Roman" w:hAnsi="Arial" w:cs="Arial"/>
          <w:color w:val="1B1C1D"/>
          <w:kern w:val="0"/>
          <w:lang w:eastAsia="en-GB"/>
          <w14:ligatures w14:val="none"/>
        </w:rPr>
        <w:t>fulfill</w:t>
      </w:r>
      <w:proofErr w:type="spellEnd"/>
      <w:r w:rsidRPr="009918D3">
        <w:rPr>
          <w:rFonts w:ascii="Arial" w:eastAsia="Times New Roman" w:hAnsi="Arial" w:cs="Arial"/>
          <w:color w:val="1B1C1D"/>
          <w:kern w:val="0"/>
          <w:lang w:eastAsia="en-GB"/>
          <w14:ligatures w14:val="none"/>
        </w:rPr>
        <w:t xml:space="preserve"> its Consumer Duty obligations but also drive operational efficiencies and solidify its reputation as a trusted and empathetic financial partner, particularly during customers' most vulnerable times.</w:t>
      </w:r>
    </w:p>
    <w:p w14:paraId="2BCE66D8" w14:textId="77777777" w:rsidR="009918D3" w:rsidRPr="009918D3" w:rsidRDefault="009918D3" w:rsidP="009918D3">
      <w:pPr>
        <w:rPr>
          <w:lang w:val="en-US"/>
        </w:rPr>
      </w:pPr>
    </w:p>
    <w:sectPr w:rsidR="009918D3" w:rsidRPr="00991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5CBC"/>
    <w:multiLevelType w:val="multilevel"/>
    <w:tmpl w:val="DB4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06930"/>
    <w:multiLevelType w:val="multilevel"/>
    <w:tmpl w:val="3AC0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B0814"/>
    <w:multiLevelType w:val="multilevel"/>
    <w:tmpl w:val="4D28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876E1"/>
    <w:multiLevelType w:val="multilevel"/>
    <w:tmpl w:val="B4A4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956FD"/>
    <w:multiLevelType w:val="multilevel"/>
    <w:tmpl w:val="F26C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B4CE3"/>
    <w:multiLevelType w:val="multilevel"/>
    <w:tmpl w:val="CEC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42255"/>
    <w:multiLevelType w:val="multilevel"/>
    <w:tmpl w:val="85BC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35AA3"/>
    <w:multiLevelType w:val="multilevel"/>
    <w:tmpl w:val="C1A46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45ED3"/>
    <w:multiLevelType w:val="multilevel"/>
    <w:tmpl w:val="0574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F296D"/>
    <w:multiLevelType w:val="multilevel"/>
    <w:tmpl w:val="D95C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F29A3"/>
    <w:multiLevelType w:val="multilevel"/>
    <w:tmpl w:val="27D44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D5522"/>
    <w:multiLevelType w:val="multilevel"/>
    <w:tmpl w:val="7186B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6647B"/>
    <w:multiLevelType w:val="multilevel"/>
    <w:tmpl w:val="3042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83BB0"/>
    <w:multiLevelType w:val="multilevel"/>
    <w:tmpl w:val="089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5745F"/>
    <w:multiLevelType w:val="multilevel"/>
    <w:tmpl w:val="72A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B3E8E"/>
    <w:multiLevelType w:val="multilevel"/>
    <w:tmpl w:val="3A56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A2886"/>
    <w:multiLevelType w:val="multilevel"/>
    <w:tmpl w:val="9E7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32C9B"/>
    <w:multiLevelType w:val="multilevel"/>
    <w:tmpl w:val="EA06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41441"/>
    <w:multiLevelType w:val="multilevel"/>
    <w:tmpl w:val="88C2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42248"/>
    <w:multiLevelType w:val="multilevel"/>
    <w:tmpl w:val="C55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050F9"/>
    <w:multiLevelType w:val="multilevel"/>
    <w:tmpl w:val="3108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05890"/>
    <w:multiLevelType w:val="multilevel"/>
    <w:tmpl w:val="CD8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64BB3"/>
    <w:multiLevelType w:val="multilevel"/>
    <w:tmpl w:val="B2760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5B78CE"/>
    <w:multiLevelType w:val="multilevel"/>
    <w:tmpl w:val="76A0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0314F9"/>
    <w:multiLevelType w:val="multilevel"/>
    <w:tmpl w:val="9CE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137A0"/>
    <w:multiLevelType w:val="multilevel"/>
    <w:tmpl w:val="51E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A551C2"/>
    <w:multiLevelType w:val="multilevel"/>
    <w:tmpl w:val="807A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E4B1A"/>
    <w:multiLevelType w:val="multilevel"/>
    <w:tmpl w:val="ACA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81747"/>
    <w:multiLevelType w:val="multilevel"/>
    <w:tmpl w:val="51EC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1437B"/>
    <w:multiLevelType w:val="multilevel"/>
    <w:tmpl w:val="31D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0252B"/>
    <w:multiLevelType w:val="multilevel"/>
    <w:tmpl w:val="224A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45115B"/>
    <w:multiLevelType w:val="multilevel"/>
    <w:tmpl w:val="E460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00009C"/>
    <w:multiLevelType w:val="multilevel"/>
    <w:tmpl w:val="238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A3DEA"/>
    <w:multiLevelType w:val="multilevel"/>
    <w:tmpl w:val="FCC23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3E7407"/>
    <w:multiLevelType w:val="multilevel"/>
    <w:tmpl w:val="1B2A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647C2C"/>
    <w:multiLevelType w:val="multilevel"/>
    <w:tmpl w:val="DC8A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DB5519"/>
    <w:multiLevelType w:val="multilevel"/>
    <w:tmpl w:val="ECA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00C42"/>
    <w:multiLevelType w:val="multilevel"/>
    <w:tmpl w:val="023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005CDC"/>
    <w:multiLevelType w:val="multilevel"/>
    <w:tmpl w:val="51B89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192E4E"/>
    <w:multiLevelType w:val="multilevel"/>
    <w:tmpl w:val="50BE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D50FA9"/>
    <w:multiLevelType w:val="multilevel"/>
    <w:tmpl w:val="06AE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7463D5"/>
    <w:multiLevelType w:val="multilevel"/>
    <w:tmpl w:val="3C48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DE3467"/>
    <w:multiLevelType w:val="multilevel"/>
    <w:tmpl w:val="139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B96FF5"/>
    <w:multiLevelType w:val="multilevel"/>
    <w:tmpl w:val="B53E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EB0A71"/>
    <w:multiLevelType w:val="multilevel"/>
    <w:tmpl w:val="820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46871">
    <w:abstractNumId w:val="13"/>
  </w:num>
  <w:num w:numId="2" w16cid:durableId="1175919300">
    <w:abstractNumId w:val="29"/>
  </w:num>
  <w:num w:numId="3" w16cid:durableId="1743209516">
    <w:abstractNumId w:val="0"/>
  </w:num>
  <w:num w:numId="4" w16cid:durableId="237176604">
    <w:abstractNumId w:val="4"/>
  </w:num>
  <w:num w:numId="5" w16cid:durableId="395662936">
    <w:abstractNumId w:val="34"/>
  </w:num>
  <w:num w:numId="6" w16cid:durableId="643310725">
    <w:abstractNumId w:val="8"/>
  </w:num>
  <w:num w:numId="7" w16cid:durableId="897740197">
    <w:abstractNumId w:val="16"/>
  </w:num>
  <w:num w:numId="8" w16cid:durableId="49233268">
    <w:abstractNumId w:val="42"/>
  </w:num>
  <w:num w:numId="9" w16cid:durableId="671642777">
    <w:abstractNumId w:val="28"/>
  </w:num>
  <w:num w:numId="10" w16cid:durableId="1715346577">
    <w:abstractNumId w:val="20"/>
  </w:num>
  <w:num w:numId="11" w16cid:durableId="1948585022">
    <w:abstractNumId w:val="14"/>
  </w:num>
  <w:num w:numId="12" w16cid:durableId="318770284">
    <w:abstractNumId w:val="27"/>
  </w:num>
  <w:num w:numId="13" w16cid:durableId="1182475727">
    <w:abstractNumId w:val="41"/>
  </w:num>
  <w:num w:numId="14" w16cid:durableId="991911303">
    <w:abstractNumId w:val="17"/>
  </w:num>
  <w:num w:numId="15" w16cid:durableId="41759235">
    <w:abstractNumId w:val="32"/>
  </w:num>
  <w:num w:numId="16" w16cid:durableId="767048164">
    <w:abstractNumId w:val="25"/>
  </w:num>
  <w:num w:numId="17" w16cid:durableId="730998905">
    <w:abstractNumId w:val="9"/>
  </w:num>
  <w:num w:numId="18" w16cid:durableId="1479376299">
    <w:abstractNumId w:val="37"/>
  </w:num>
  <w:num w:numId="19" w16cid:durableId="2010598469">
    <w:abstractNumId w:val="15"/>
  </w:num>
  <w:num w:numId="20" w16cid:durableId="241838521">
    <w:abstractNumId w:val="18"/>
  </w:num>
  <w:num w:numId="21" w16cid:durableId="422341667">
    <w:abstractNumId w:val="30"/>
  </w:num>
  <w:num w:numId="22" w16cid:durableId="1213884401">
    <w:abstractNumId w:val="19"/>
  </w:num>
  <w:num w:numId="23" w16cid:durableId="615602190">
    <w:abstractNumId w:val="43"/>
  </w:num>
  <w:num w:numId="24" w16cid:durableId="374742516">
    <w:abstractNumId w:val="26"/>
  </w:num>
  <w:num w:numId="25" w16cid:durableId="911232812">
    <w:abstractNumId w:val="22"/>
  </w:num>
  <w:num w:numId="26" w16cid:durableId="1741173669">
    <w:abstractNumId w:val="33"/>
  </w:num>
  <w:num w:numId="27" w16cid:durableId="341473807">
    <w:abstractNumId w:val="40"/>
  </w:num>
  <w:num w:numId="28" w16cid:durableId="1679893505">
    <w:abstractNumId w:val="21"/>
  </w:num>
  <w:num w:numId="29" w16cid:durableId="1982541477">
    <w:abstractNumId w:val="38"/>
  </w:num>
  <w:num w:numId="30" w16cid:durableId="1814905379">
    <w:abstractNumId w:val="11"/>
  </w:num>
  <w:num w:numId="31" w16cid:durableId="663632816">
    <w:abstractNumId w:val="36"/>
  </w:num>
  <w:num w:numId="32" w16cid:durableId="295642401">
    <w:abstractNumId w:val="7"/>
  </w:num>
  <w:num w:numId="33" w16cid:durableId="311570610">
    <w:abstractNumId w:val="24"/>
  </w:num>
  <w:num w:numId="34" w16cid:durableId="1287153523">
    <w:abstractNumId w:val="31"/>
  </w:num>
  <w:num w:numId="35" w16cid:durableId="674184495">
    <w:abstractNumId w:val="39"/>
  </w:num>
  <w:num w:numId="36" w16cid:durableId="260915785">
    <w:abstractNumId w:val="10"/>
  </w:num>
  <w:num w:numId="37" w16cid:durableId="580525628">
    <w:abstractNumId w:val="3"/>
  </w:num>
  <w:num w:numId="38" w16cid:durableId="368458962">
    <w:abstractNumId w:val="5"/>
  </w:num>
  <w:num w:numId="39" w16cid:durableId="1972206742">
    <w:abstractNumId w:val="1"/>
  </w:num>
  <w:num w:numId="40" w16cid:durableId="1155955049">
    <w:abstractNumId w:val="35"/>
  </w:num>
  <w:num w:numId="41" w16cid:durableId="1609462503">
    <w:abstractNumId w:val="2"/>
  </w:num>
  <w:num w:numId="42" w16cid:durableId="355347198">
    <w:abstractNumId w:val="12"/>
  </w:num>
  <w:num w:numId="43" w16cid:durableId="2084639417">
    <w:abstractNumId w:val="6"/>
  </w:num>
  <w:num w:numId="44" w16cid:durableId="1140533171">
    <w:abstractNumId w:val="44"/>
  </w:num>
  <w:num w:numId="45" w16cid:durableId="1991293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49"/>
    <w:rsid w:val="00331861"/>
    <w:rsid w:val="009918D3"/>
    <w:rsid w:val="009D07B9"/>
    <w:rsid w:val="00AD00FA"/>
    <w:rsid w:val="00B77149"/>
    <w:rsid w:val="00C90F40"/>
    <w:rsid w:val="00C91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F31D"/>
  <w15:chartTrackingRefBased/>
  <w15:docId w15:val="{2A5D0F9E-575A-1241-BF7F-A9C8BE2B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7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7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149"/>
    <w:rPr>
      <w:rFonts w:eastAsiaTheme="majorEastAsia" w:cstheme="majorBidi"/>
      <w:color w:val="272727" w:themeColor="text1" w:themeTint="D8"/>
    </w:rPr>
  </w:style>
  <w:style w:type="paragraph" w:styleId="Title">
    <w:name w:val="Title"/>
    <w:basedOn w:val="Normal"/>
    <w:next w:val="Normal"/>
    <w:link w:val="TitleChar"/>
    <w:uiPriority w:val="10"/>
    <w:qFormat/>
    <w:rsid w:val="00B77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149"/>
    <w:pPr>
      <w:spacing w:before="160"/>
      <w:jc w:val="center"/>
    </w:pPr>
    <w:rPr>
      <w:i/>
      <w:iCs/>
      <w:color w:val="404040" w:themeColor="text1" w:themeTint="BF"/>
    </w:rPr>
  </w:style>
  <w:style w:type="character" w:customStyle="1" w:styleId="QuoteChar">
    <w:name w:val="Quote Char"/>
    <w:basedOn w:val="DefaultParagraphFont"/>
    <w:link w:val="Quote"/>
    <w:uiPriority w:val="29"/>
    <w:rsid w:val="00B77149"/>
    <w:rPr>
      <w:i/>
      <w:iCs/>
      <w:color w:val="404040" w:themeColor="text1" w:themeTint="BF"/>
    </w:rPr>
  </w:style>
  <w:style w:type="paragraph" w:styleId="ListParagraph">
    <w:name w:val="List Paragraph"/>
    <w:basedOn w:val="Normal"/>
    <w:uiPriority w:val="34"/>
    <w:qFormat/>
    <w:rsid w:val="00B77149"/>
    <w:pPr>
      <w:ind w:left="720"/>
      <w:contextualSpacing/>
    </w:pPr>
  </w:style>
  <w:style w:type="character" w:styleId="IntenseEmphasis">
    <w:name w:val="Intense Emphasis"/>
    <w:basedOn w:val="DefaultParagraphFont"/>
    <w:uiPriority w:val="21"/>
    <w:qFormat/>
    <w:rsid w:val="00B77149"/>
    <w:rPr>
      <w:i/>
      <w:iCs/>
      <w:color w:val="0F4761" w:themeColor="accent1" w:themeShade="BF"/>
    </w:rPr>
  </w:style>
  <w:style w:type="paragraph" w:styleId="IntenseQuote">
    <w:name w:val="Intense Quote"/>
    <w:basedOn w:val="Normal"/>
    <w:next w:val="Normal"/>
    <w:link w:val="IntenseQuoteChar"/>
    <w:uiPriority w:val="30"/>
    <w:qFormat/>
    <w:rsid w:val="00B77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149"/>
    <w:rPr>
      <w:i/>
      <w:iCs/>
      <w:color w:val="0F4761" w:themeColor="accent1" w:themeShade="BF"/>
    </w:rPr>
  </w:style>
  <w:style w:type="character" w:styleId="IntenseReference">
    <w:name w:val="Intense Reference"/>
    <w:basedOn w:val="DefaultParagraphFont"/>
    <w:uiPriority w:val="32"/>
    <w:qFormat/>
    <w:rsid w:val="00B77149"/>
    <w:rPr>
      <w:b/>
      <w:bCs/>
      <w:smallCaps/>
      <w:color w:val="0F4761" w:themeColor="accent1" w:themeShade="BF"/>
      <w:spacing w:val="5"/>
    </w:rPr>
  </w:style>
  <w:style w:type="paragraph" w:styleId="NormalWeb">
    <w:name w:val="Normal (Web)"/>
    <w:basedOn w:val="Normal"/>
    <w:uiPriority w:val="99"/>
    <w:semiHidden/>
    <w:unhideWhenUsed/>
    <w:rsid w:val="00B771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77149"/>
    <w:rPr>
      <w:b/>
      <w:bCs/>
    </w:rPr>
  </w:style>
  <w:style w:type="character" w:styleId="Emphasis">
    <w:name w:val="Emphasis"/>
    <w:basedOn w:val="DefaultParagraphFont"/>
    <w:uiPriority w:val="20"/>
    <w:qFormat/>
    <w:rsid w:val="00B77149"/>
    <w:rPr>
      <w:i/>
      <w:iCs/>
    </w:rPr>
  </w:style>
  <w:style w:type="character" w:styleId="Hyperlink">
    <w:name w:val="Hyperlink"/>
    <w:basedOn w:val="DefaultParagraphFont"/>
    <w:uiPriority w:val="99"/>
    <w:semiHidden/>
    <w:unhideWhenUsed/>
    <w:rsid w:val="00C91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3002">
      <w:bodyDiv w:val="1"/>
      <w:marLeft w:val="0"/>
      <w:marRight w:val="0"/>
      <w:marTop w:val="0"/>
      <w:marBottom w:val="0"/>
      <w:divBdr>
        <w:top w:val="none" w:sz="0" w:space="0" w:color="auto"/>
        <w:left w:val="none" w:sz="0" w:space="0" w:color="auto"/>
        <w:bottom w:val="none" w:sz="0" w:space="0" w:color="auto"/>
        <w:right w:val="none" w:sz="0" w:space="0" w:color="auto"/>
      </w:divBdr>
    </w:div>
    <w:div w:id="276376826">
      <w:bodyDiv w:val="1"/>
      <w:marLeft w:val="0"/>
      <w:marRight w:val="0"/>
      <w:marTop w:val="0"/>
      <w:marBottom w:val="0"/>
      <w:divBdr>
        <w:top w:val="none" w:sz="0" w:space="0" w:color="auto"/>
        <w:left w:val="none" w:sz="0" w:space="0" w:color="auto"/>
        <w:bottom w:val="none" w:sz="0" w:space="0" w:color="auto"/>
        <w:right w:val="none" w:sz="0" w:space="0" w:color="auto"/>
      </w:divBdr>
    </w:div>
    <w:div w:id="404106038">
      <w:bodyDiv w:val="1"/>
      <w:marLeft w:val="0"/>
      <w:marRight w:val="0"/>
      <w:marTop w:val="0"/>
      <w:marBottom w:val="0"/>
      <w:divBdr>
        <w:top w:val="none" w:sz="0" w:space="0" w:color="auto"/>
        <w:left w:val="none" w:sz="0" w:space="0" w:color="auto"/>
        <w:bottom w:val="none" w:sz="0" w:space="0" w:color="auto"/>
        <w:right w:val="none" w:sz="0" w:space="0" w:color="auto"/>
      </w:divBdr>
    </w:div>
    <w:div w:id="447967073">
      <w:bodyDiv w:val="1"/>
      <w:marLeft w:val="0"/>
      <w:marRight w:val="0"/>
      <w:marTop w:val="0"/>
      <w:marBottom w:val="0"/>
      <w:divBdr>
        <w:top w:val="none" w:sz="0" w:space="0" w:color="auto"/>
        <w:left w:val="none" w:sz="0" w:space="0" w:color="auto"/>
        <w:bottom w:val="none" w:sz="0" w:space="0" w:color="auto"/>
        <w:right w:val="none" w:sz="0" w:space="0" w:color="auto"/>
      </w:divBdr>
    </w:div>
    <w:div w:id="479154081">
      <w:bodyDiv w:val="1"/>
      <w:marLeft w:val="0"/>
      <w:marRight w:val="0"/>
      <w:marTop w:val="0"/>
      <w:marBottom w:val="0"/>
      <w:divBdr>
        <w:top w:val="none" w:sz="0" w:space="0" w:color="auto"/>
        <w:left w:val="none" w:sz="0" w:space="0" w:color="auto"/>
        <w:bottom w:val="none" w:sz="0" w:space="0" w:color="auto"/>
        <w:right w:val="none" w:sz="0" w:space="0" w:color="auto"/>
      </w:divBdr>
      <w:divsChild>
        <w:div w:id="804349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495703">
      <w:bodyDiv w:val="1"/>
      <w:marLeft w:val="0"/>
      <w:marRight w:val="0"/>
      <w:marTop w:val="0"/>
      <w:marBottom w:val="0"/>
      <w:divBdr>
        <w:top w:val="none" w:sz="0" w:space="0" w:color="auto"/>
        <w:left w:val="none" w:sz="0" w:space="0" w:color="auto"/>
        <w:bottom w:val="none" w:sz="0" w:space="0" w:color="auto"/>
        <w:right w:val="none" w:sz="0" w:space="0" w:color="auto"/>
      </w:divBdr>
    </w:div>
    <w:div w:id="764544493">
      <w:bodyDiv w:val="1"/>
      <w:marLeft w:val="0"/>
      <w:marRight w:val="0"/>
      <w:marTop w:val="0"/>
      <w:marBottom w:val="0"/>
      <w:divBdr>
        <w:top w:val="none" w:sz="0" w:space="0" w:color="auto"/>
        <w:left w:val="none" w:sz="0" w:space="0" w:color="auto"/>
        <w:bottom w:val="none" w:sz="0" w:space="0" w:color="auto"/>
        <w:right w:val="none" w:sz="0" w:space="0" w:color="auto"/>
      </w:divBdr>
    </w:div>
    <w:div w:id="809860365">
      <w:bodyDiv w:val="1"/>
      <w:marLeft w:val="0"/>
      <w:marRight w:val="0"/>
      <w:marTop w:val="0"/>
      <w:marBottom w:val="0"/>
      <w:divBdr>
        <w:top w:val="none" w:sz="0" w:space="0" w:color="auto"/>
        <w:left w:val="none" w:sz="0" w:space="0" w:color="auto"/>
        <w:bottom w:val="none" w:sz="0" w:space="0" w:color="auto"/>
        <w:right w:val="none" w:sz="0" w:space="0" w:color="auto"/>
      </w:divBdr>
    </w:div>
    <w:div w:id="1402362807">
      <w:bodyDiv w:val="1"/>
      <w:marLeft w:val="0"/>
      <w:marRight w:val="0"/>
      <w:marTop w:val="0"/>
      <w:marBottom w:val="0"/>
      <w:divBdr>
        <w:top w:val="none" w:sz="0" w:space="0" w:color="auto"/>
        <w:left w:val="none" w:sz="0" w:space="0" w:color="auto"/>
        <w:bottom w:val="none" w:sz="0" w:space="0" w:color="auto"/>
        <w:right w:val="none" w:sz="0" w:space="0" w:color="auto"/>
      </w:divBdr>
    </w:div>
    <w:div w:id="1454786715">
      <w:bodyDiv w:val="1"/>
      <w:marLeft w:val="0"/>
      <w:marRight w:val="0"/>
      <w:marTop w:val="0"/>
      <w:marBottom w:val="0"/>
      <w:divBdr>
        <w:top w:val="none" w:sz="0" w:space="0" w:color="auto"/>
        <w:left w:val="none" w:sz="0" w:space="0" w:color="auto"/>
        <w:bottom w:val="none" w:sz="0" w:space="0" w:color="auto"/>
        <w:right w:val="none" w:sz="0" w:space="0" w:color="auto"/>
      </w:divBdr>
      <w:divsChild>
        <w:div w:id="1645740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226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5863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22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638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629792">
      <w:bodyDiv w:val="1"/>
      <w:marLeft w:val="0"/>
      <w:marRight w:val="0"/>
      <w:marTop w:val="0"/>
      <w:marBottom w:val="0"/>
      <w:divBdr>
        <w:top w:val="none" w:sz="0" w:space="0" w:color="auto"/>
        <w:left w:val="none" w:sz="0" w:space="0" w:color="auto"/>
        <w:bottom w:val="none" w:sz="0" w:space="0" w:color="auto"/>
        <w:right w:val="none" w:sz="0" w:space="0" w:color="auto"/>
      </w:divBdr>
    </w:div>
    <w:div w:id="1655067106">
      <w:bodyDiv w:val="1"/>
      <w:marLeft w:val="0"/>
      <w:marRight w:val="0"/>
      <w:marTop w:val="0"/>
      <w:marBottom w:val="0"/>
      <w:divBdr>
        <w:top w:val="none" w:sz="0" w:space="0" w:color="auto"/>
        <w:left w:val="none" w:sz="0" w:space="0" w:color="auto"/>
        <w:bottom w:val="none" w:sz="0" w:space="0" w:color="auto"/>
        <w:right w:val="none" w:sz="0" w:space="0" w:color="auto"/>
      </w:divBdr>
    </w:div>
    <w:div w:id="2095391985">
      <w:bodyDiv w:val="1"/>
      <w:marLeft w:val="0"/>
      <w:marRight w:val="0"/>
      <w:marTop w:val="0"/>
      <w:marBottom w:val="0"/>
      <w:divBdr>
        <w:top w:val="none" w:sz="0" w:space="0" w:color="auto"/>
        <w:left w:val="none" w:sz="0" w:space="0" w:color="auto"/>
        <w:bottom w:val="none" w:sz="0" w:space="0" w:color="auto"/>
        <w:right w:val="none" w:sz="0" w:space="0" w:color="auto"/>
      </w:divBdr>
      <w:divsChild>
        <w:div w:id="305205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426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663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66908">
          <w:blockQuote w:val="1"/>
          <w:marLeft w:val="720"/>
          <w:marRight w:val="720"/>
          <w:marTop w:val="100"/>
          <w:marBottom w:val="100"/>
          <w:divBdr>
            <w:top w:val="none" w:sz="0" w:space="0" w:color="auto"/>
            <w:left w:val="none" w:sz="0" w:space="0" w:color="auto"/>
            <w:bottom w:val="none" w:sz="0" w:space="0" w:color="auto"/>
            <w:right w:val="none" w:sz="0" w:space="0" w:color="auto"/>
          </w:divBdr>
        </w:div>
        <w:div w:id="90429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48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3101</Words>
  <Characters>17677</Characters>
  <Application>Microsoft Office Word</Application>
  <DocSecurity>0</DocSecurity>
  <Lines>147</Lines>
  <Paragraphs>41</Paragraphs>
  <ScaleCrop>false</ScaleCrop>
  <Company/>
  <LinksUpToDate>false</LinksUpToDate>
  <CharactersWithSpaces>20737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1463</dc:creator>
  <cp:keywords/>
  <dc:description/>
  <cp:lastModifiedBy>1463</cp:lastModifiedBy>
  <cp:revision>3</cp:revision>
  <dcterms:created xsi:type="dcterms:W3CDTF">2025-05-29T05:37:00Z</dcterms:created>
  <dcterms:modified xsi:type="dcterms:W3CDTF">2025-05-29T05:39:00Z</dcterms:modified>
</cp:coreProperties>
</file>