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b w:val="1"/>
          <w:bCs w:val="1"/>
          <w:outline w:val="0"/>
          <w:color w:val="003366"/>
          <w:sz w:val="36"/>
          <w:szCs w:val="36"/>
          <w:u w:color="003366"/>
          <w14:textFill>
            <w14:solidFill>
              <w14:srgbClr w14:val="003366"/>
            </w14:solidFill>
          </w14:textFill>
        </w:rPr>
      </w:pPr>
      <w:r>
        <w:rPr>
          <w:b w:val="1"/>
          <w:bCs w:val="1"/>
          <w:outline w:val="0"/>
          <w:color w:val="003366"/>
          <w:sz w:val="36"/>
          <w:szCs w:val="36"/>
          <w:u w:color="003366"/>
          <w:rtl w:val="0"/>
          <w:lang w:val="de-DE"/>
          <w14:textFill>
            <w14:solidFill>
              <w14:srgbClr w14:val="003366"/>
            </w14:solidFill>
          </w14:textFill>
        </w:rPr>
        <w:t>DRAFT REGULATORY FRAMEWORK</w:t>
      </w:r>
    </w:p>
    <w:p>
      <w:pPr>
        <w:pStyle w:val="Body"/>
        <w:jc w:val="center"/>
      </w:pPr>
    </w:p>
    <w:p>
      <w:pPr>
        <w:pStyle w:val="Body"/>
        <w:jc w:val="center"/>
      </w:pPr>
      <w:r>
        <w:rPr>
          <w:b w:val="1"/>
          <w:bCs w:val="1"/>
          <w:outline w:val="0"/>
          <w:color w:val="003366"/>
          <w:sz w:val="32"/>
          <w:szCs w:val="32"/>
          <w:u w:color="003366"/>
          <w:rtl w:val="0"/>
          <w:lang w:val="en-US"/>
          <w14:textFill>
            <w14:solidFill>
              <w14:srgbClr w14:val="003366"/>
            </w14:solidFill>
          </w14:textFill>
        </w:rPr>
        <w:t>Mandatory Disclosure and Oversight of</w:t>
      </w:r>
      <w:r>
        <w:rPr>
          <w:b w:val="1"/>
          <w:bCs w:val="1"/>
          <w:outline w:val="0"/>
          <w:color w:val="003366"/>
          <w:sz w:val="32"/>
          <w:szCs w:val="32"/>
          <w:u w:color="003366"/>
          <w14:textFill>
            <w14:solidFill>
              <w14:srgbClr w14:val="003366"/>
            </w14:solidFill>
          </w14:textFill>
        </w:rPr>
        <w:br w:type="textWrapping"/>
      </w:r>
      <w:r>
        <w:rPr>
          <w:b w:val="1"/>
          <w:bCs w:val="1"/>
          <w:outline w:val="0"/>
          <w:color w:val="003366"/>
          <w:sz w:val="32"/>
          <w:szCs w:val="32"/>
          <w:u w:color="003366"/>
          <w:rtl w:val="0"/>
          <w:lang w:val="en-US"/>
          <w14:textFill>
            <w14:solidFill>
              <w14:srgbClr w14:val="003366"/>
            </w14:solidFill>
          </w14:textFill>
        </w:rPr>
        <w:t>AI-Generated and AI-Altered Video Content</w:t>
      </w:r>
    </w:p>
    <w:p>
      <w:pPr>
        <w:pStyle w:val="Body"/>
      </w:pPr>
    </w:p>
    <w:p>
      <w:pPr>
        <w:pStyle w:val="Body"/>
      </w:pPr>
    </w:p>
    <w:p>
      <w:pPr>
        <w:pStyle w:val="Body"/>
      </w:pPr>
    </w:p>
    <w:p>
      <w:pPr>
        <w:pStyle w:val="Body"/>
      </w:pPr>
      <w:r>
        <w:drawing xmlns:a="http://schemas.openxmlformats.org/drawingml/2006/main">
          <wp:anchor distT="152400" distB="152400" distL="152400" distR="152400" simplePos="0" relativeHeight="251659264" behindDoc="0" locked="0" layoutInCell="1" allowOverlap="1">
            <wp:simplePos x="0" y="0"/>
            <wp:positionH relativeFrom="margin">
              <wp:posOffset>2406650</wp:posOffset>
            </wp:positionH>
            <wp:positionV relativeFrom="line">
              <wp:posOffset>248920</wp:posOffset>
            </wp:positionV>
            <wp:extent cx="1033145" cy="1033145"/>
            <wp:effectExtent l="0" t="0" r="0" b="0"/>
            <wp:wrapThrough wrapText="bothSides" distL="152400" distR="152400">
              <wp:wrapPolygon edited="1">
                <wp:start x="0" y="0"/>
                <wp:lineTo x="21600" y="0"/>
                <wp:lineTo x="21600" y="21600"/>
                <wp:lineTo x="0" y="21600"/>
                <wp:lineTo x="0" y="0"/>
              </wp:wrapPolygon>
            </wp:wrapThrough>
            <wp:docPr id="1073741825" name="officeArt object" descr="Image"/>
            <wp:cNvGraphicFramePr/>
            <a:graphic xmlns:a="http://schemas.openxmlformats.org/drawingml/2006/main">
              <a:graphicData uri="http://schemas.openxmlformats.org/drawingml/2006/picture">
                <pic:pic xmlns:pic="http://schemas.openxmlformats.org/drawingml/2006/picture">
                  <pic:nvPicPr>
                    <pic:cNvPr id="1073741825" name="Image" descr="Image"/>
                    <pic:cNvPicPr>
                      <a:picLocks noChangeAspect="1"/>
                    </pic:cNvPicPr>
                  </pic:nvPicPr>
                  <pic:blipFill>
                    <a:blip r:embed="rId4">
                      <a:extLst/>
                    </a:blip>
                    <a:stretch>
                      <a:fillRect/>
                    </a:stretch>
                  </pic:blipFill>
                  <pic:spPr>
                    <a:xfrm>
                      <a:off x="0" y="0"/>
                      <a:ext cx="1033145" cy="1033145"/>
                    </a:xfrm>
                    <a:prstGeom prst="rect">
                      <a:avLst/>
                    </a:prstGeom>
                    <a:ln w="12700" cap="flat">
                      <a:noFill/>
                      <a:miter lim="400000"/>
                    </a:ln>
                    <a:effectLst/>
                  </pic:spPr>
                </pic:pic>
              </a:graphicData>
            </a:graphic>
          </wp:anchor>
        </w:drawing>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jc w:val="center"/>
        <w:rPr>
          <w:b w:val="1"/>
          <w:bCs w:val="1"/>
          <w:sz w:val="24"/>
          <w:szCs w:val="24"/>
        </w:rPr>
      </w:pPr>
      <w:r>
        <w:rPr>
          <w:b w:val="1"/>
          <w:bCs w:val="1"/>
          <w:sz w:val="24"/>
          <w:szCs w:val="24"/>
          <w:rtl w:val="0"/>
          <w:lang w:val="en-US"/>
        </w:rPr>
        <w:t>Submitted by:</w:t>
      </w:r>
    </w:p>
    <w:p>
      <w:pPr>
        <w:pStyle w:val="Body"/>
        <w:jc w:val="center"/>
      </w:pPr>
      <w:r>
        <w:rPr>
          <w:b w:val="1"/>
          <w:bCs w:val="1"/>
          <w:sz w:val="24"/>
          <w:szCs w:val="24"/>
          <w:rtl w:val="0"/>
          <w:lang w:val="en-US"/>
        </w:rPr>
        <w:t>Aditya Devraj Choudhary (Co Organiser)</w:t>
      </w:r>
      <w:r>
        <w:rPr>
          <w:b w:val="1"/>
          <w:bCs w:val="1"/>
          <w:sz w:val="24"/>
          <w:szCs w:val="24"/>
        </w:rPr>
        <w:br w:type="textWrapping"/>
      </w:r>
      <w:r>
        <w:rPr>
          <w:b w:val="1"/>
          <w:bCs w:val="1"/>
          <w:sz w:val="24"/>
          <w:szCs w:val="24"/>
          <w:rtl w:val="0"/>
        </w:rPr>
        <w:t>Student Global Summit (SG Summit</w:t>
      </w:r>
      <w:r>
        <w:rPr>
          <w:b w:val="1"/>
          <w:bCs w:val="1"/>
          <w:sz w:val="24"/>
          <w:szCs w:val="24"/>
          <w:rtl w:val="0"/>
          <w:lang w:val="en-US"/>
        </w:rPr>
        <w:t xml:space="preserve"> 2025</w:t>
      </w:r>
      <w:r>
        <w:rPr>
          <w:b w:val="1"/>
          <w:bCs w:val="1"/>
          <w:sz w:val="24"/>
          <w:szCs w:val="24"/>
          <w:rtl w:val="0"/>
        </w:rPr>
        <w:t>)</w:t>
      </w:r>
      <w:r>
        <w:rPr>
          <w:b w:val="1"/>
          <w:bCs w:val="1"/>
          <w:sz w:val="24"/>
          <w:szCs w:val="24"/>
        </w:rPr>
        <w:br w:type="textWrapping"/>
      </w:r>
    </w:p>
    <w:p>
      <w:pPr>
        <w:pStyle w:val="Body"/>
        <w:jc w:val="center"/>
      </w:pPr>
      <w:r>
        <w:rPr>
          <w:rtl w:val="0"/>
          <w:lang w:val="en-US"/>
        </w:rPr>
        <w:t>Date: February 2026</w:t>
      </w:r>
    </w:p>
    <w:p>
      <w:pPr>
        <w:pStyle w:val="Body"/>
      </w:pPr>
      <w:r>
        <w:rPr>
          <w:rFonts w:ascii="Arial Unicode MS" w:cs="Arial Unicode MS" w:hAnsi="Arial Unicode MS" w:eastAsia="Arial Unicode MS"/>
          <w:b w:val="0"/>
          <w:bCs w:val="0"/>
          <w:i w:val="0"/>
          <w:iCs w:val="0"/>
        </w:rPr>
        <w:br w:type="page"/>
      </w:r>
    </w:p>
    <w:p>
      <w:pPr>
        <w:pStyle w:val="Heading"/>
      </w:pPr>
      <w:r>
        <w:rPr>
          <w:outline w:val="0"/>
          <w:color w:val="003366"/>
          <w:u w:color="003366"/>
          <w:rtl w:val="0"/>
          <w:lang w:val="en-US"/>
          <w14:textFill>
            <w14:solidFill>
              <w14:srgbClr w14:val="003366"/>
            </w14:solidFill>
          </w14:textFill>
        </w:rPr>
        <w:t>TABLE OF CONTENTS</w:t>
      </w:r>
    </w:p>
    <w:p>
      <w:pPr>
        <w:pStyle w:val="List Bullet"/>
        <w:numPr>
          <w:ilvl w:val="0"/>
          <w:numId w:val="2"/>
        </w:numPr>
      </w:pPr>
      <w:r>
        <w:rPr>
          <w:rtl w:val="0"/>
          <w:lang w:val="en-US"/>
        </w:rPr>
        <w:t>1. Executive Summary</w:t>
      </w:r>
    </w:p>
    <w:p>
      <w:pPr>
        <w:pStyle w:val="List Bullet"/>
        <w:numPr>
          <w:ilvl w:val="0"/>
          <w:numId w:val="2"/>
        </w:numPr>
      </w:pPr>
      <w:r>
        <w:rPr>
          <w:rtl w:val="0"/>
          <w:lang w:val="en-US"/>
        </w:rPr>
        <w:t>2. Background, Context, and Rationale</w:t>
      </w:r>
    </w:p>
    <w:p>
      <w:pPr>
        <w:pStyle w:val="List Bullet"/>
        <w:numPr>
          <w:ilvl w:val="0"/>
          <w:numId w:val="2"/>
        </w:numPr>
      </w:pPr>
      <w:r>
        <w:rPr>
          <w:rtl w:val="0"/>
          <w:lang w:val="en-US"/>
        </w:rPr>
        <w:t>3. Policy Objectives</w:t>
      </w:r>
    </w:p>
    <w:p>
      <w:pPr>
        <w:pStyle w:val="List Bullet"/>
        <w:numPr>
          <w:ilvl w:val="0"/>
          <w:numId w:val="2"/>
        </w:numPr>
      </w:pPr>
      <w:r>
        <w:rPr>
          <w:rtl w:val="0"/>
          <w:lang w:val="en-US"/>
        </w:rPr>
        <w:t>4. Key Definitions</w:t>
      </w:r>
    </w:p>
    <w:p>
      <w:pPr>
        <w:pStyle w:val="List Bullet"/>
        <w:numPr>
          <w:ilvl w:val="0"/>
          <w:numId w:val="2"/>
        </w:numPr>
      </w:pPr>
      <w:r>
        <w:rPr>
          <w:rtl w:val="0"/>
          <w:lang w:val="en-US"/>
        </w:rPr>
        <w:t>5. Guiding Principles</w:t>
      </w:r>
    </w:p>
    <w:p>
      <w:pPr>
        <w:pStyle w:val="List Bullet"/>
        <w:numPr>
          <w:ilvl w:val="0"/>
          <w:numId w:val="2"/>
        </w:numPr>
      </w:pPr>
      <w:r>
        <w:rPr>
          <w:rtl w:val="0"/>
          <w:lang w:val="en-US"/>
        </w:rPr>
        <w:t>6. Core Policy Provisions</w:t>
      </w:r>
    </w:p>
    <w:p>
      <w:pPr>
        <w:pStyle w:val="List Bullet"/>
        <w:numPr>
          <w:ilvl w:val="0"/>
          <w:numId w:val="2"/>
        </w:numPr>
      </w:pPr>
      <w:r>
        <w:rPr>
          <w:rtl w:val="0"/>
          <w:lang w:val="en-US"/>
        </w:rPr>
        <w:t xml:space="preserve">   6.1 Mandatory Disclosure</w:t>
      </w:r>
    </w:p>
    <w:p>
      <w:pPr>
        <w:pStyle w:val="List Bullet"/>
        <w:numPr>
          <w:ilvl w:val="0"/>
          <w:numId w:val="2"/>
        </w:numPr>
      </w:pPr>
      <w:r>
        <w:rPr>
          <w:rtl w:val="0"/>
          <w:lang w:val="en-US"/>
        </w:rPr>
        <w:t xml:space="preserve">   6.2 Legal Status of Non-Disclosure</w:t>
      </w:r>
    </w:p>
    <w:p>
      <w:pPr>
        <w:pStyle w:val="List Bullet"/>
        <w:numPr>
          <w:ilvl w:val="0"/>
          <w:numId w:val="2"/>
        </w:numPr>
      </w:pPr>
      <w:r>
        <w:rPr>
          <w:rtl w:val="0"/>
          <w:lang w:val="en-US"/>
        </w:rPr>
        <w:t xml:space="preserve">   6.3 Obligations of Digital Platforms</w:t>
      </w:r>
    </w:p>
    <w:p>
      <w:pPr>
        <w:pStyle w:val="List Bullet"/>
        <w:numPr>
          <w:ilvl w:val="0"/>
          <w:numId w:val="2"/>
        </w:numPr>
      </w:pPr>
      <w:r>
        <w:rPr>
          <w:rtl w:val="0"/>
          <w:lang w:val="en-US"/>
        </w:rPr>
        <w:t xml:space="preserve">   6.4 Protection Against Non-Consensual and Harmful Use</w:t>
      </w:r>
    </w:p>
    <w:p>
      <w:pPr>
        <w:pStyle w:val="List Bullet"/>
        <w:numPr>
          <w:ilvl w:val="0"/>
          <w:numId w:val="2"/>
        </w:numPr>
      </w:pPr>
      <w:r>
        <w:rPr>
          <w:rtl w:val="0"/>
          <w:lang w:val="en-US"/>
        </w:rPr>
        <w:t>7. Exceptions and Conditional Exemptions</w:t>
      </w:r>
    </w:p>
    <w:p>
      <w:pPr>
        <w:pStyle w:val="List Bullet"/>
        <w:numPr>
          <w:ilvl w:val="0"/>
          <w:numId w:val="2"/>
        </w:numPr>
      </w:pPr>
      <w:r>
        <w:rPr>
          <w:rtl w:val="0"/>
          <w:lang w:val="en-US"/>
        </w:rPr>
        <w:t>8. Enforcement and Implementation</w:t>
      </w:r>
    </w:p>
    <w:p>
      <w:pPr>
        <w:pStyle w:val="List Bullet"/>
        <w:numPr>
          <w:ilvl w:val="0"/>
          <w:numId w:val="2"/>
        </w:numPr>
      </w:pPr>
      <w:r>
        <w:rPr>
          <w:rtl w:val="0"/>
          <w:lang w:val="en-US"/>
        </w:rPr>
        <w:t>9. Penalties and Compliance Mechanism</w:t>
      </w:r>
    </w:p>
    <w:p>
      <w:pPr>
        <w:pStyle w:val="List Bullet"/>
        <w:numPr>
          <w:ilvl w:val="0"/>
          <w:numId w:val="2"/>
        </w:numPr>
      </w:pPr>
      <w:r>
        <w:rPr>
          <w:rtl w:val="0"/>
          <w:lang w:val="en-US"/>
        </w:rPr>
        <w:t>10. Alignment with Existing Law</w:t>
      </w:r>
    </w:p>
    <w:p>
      <w:pPr>
        <w:pStyle w:val="List Bullet"/>
        <w:numPr>
          <w:ilvl w:val="0"/>
          <w:numId w:val="2"/>
        </w:numPr>
      </w:pPr>
      <w:r>
        <w:rPr>
          <w:rtl w:val="0"/>
          <w:lang w:val="en-US"/>
        </w:rPr>
        <w:t>11. Governance, Monitoring, and Periodic Review</w:t>
      </w:r>
    </w:p>
    <w:p>
      <w:pPr>
        <w:pStyle w:val="List Bullet"/>
        <w:numPr>
          <w:ilvl w:val="0"/>
          <w:numId w:val="2"/>
        </w:numPr>
      </w:pPr>
      <w:r>
        <w:rPr>
          <w:rtl w:val="0"/>
          <w:lang w:val="en-US"/>
        </w:rPr>
        <w:t>12. Conclusion</w:t>
      </w:r>
    </w:p>
    <w:p>
      <w:pPr>
        <w:pStyle w:val="Body"/>
      </w:pPr>
      <w:r>
        <w:rPr>
          <w:rFonts w:ascii="Arial Unicode MS" w:cs="Arial Unicode MS" w:hAnsi="Arial Unicode MS" w:eastAsia="Arial Unicode MS"/>
          <w:b w:val="0"/>
          <w:bCs w:val="0"/>
          <w:i w:val="0"/>
          <w:iCs w:val="0"/>
        </w:rPr>
        <w:br w:type="page"/>
      </w:r>
    </w:p>
    <w:p>
      <w:pPr>
        <w:pStyle w:val="Heading"/>
      </w:pPr>
      <w:r>
        <w:rPr>
          <w:outline w:val="0"/>
          <w:color w:val="003366"/>
          <w:u w:color="003366"/>
          <w:rtl w:val="0"/>
          <w:lang w:val="en-US"/>
          <w14:textFill>
            <w14:solidFill>
              <w14:srgbClr w14:val="003366"/>
            </w14:solidFill>
          </w14:textFill>
        </w:rPr>
        <w:t>1. Executive Summary</w:t>
      </w:r>
    </w:p>
    <w:p>
      <w:pPr>
        <w:pStyle w:val="Body"/>
        <w:jc w:val="both"/>
      </w:pPr>
      <w:r>
        <w:rPr>
          <w:rtl w:val="0"/>
          <w:lang w:val="en-US"/>
        </w:rPr>
        <w:t>Artificial intelligence (AI) systems now enable the creation and manipulation of video content with unprecedented realism, making it increasingly difficult for ordinary viewers to distinguish authentic footage from synthetic material. While these tools support creativity, education, and communication, the absence of clear disclosure standards for AI-generated and AI-altered videos creates serious risks to privacy, reputation, and public trust.</w:t>
      </w:r>
    </w:p>
    <w:p>
      <w:pPr>
        <w:pStyle w:val="Body"/>
        <w:jc w:val="both"/>
      </w:pPr>
      <w:r>
        <w:rPr>
          <w:rtl w:val="0"/>
          <w:lang w:val="en-US"/>
        </w:rPr>
        <w:t>This document proposes a Draft Regulatory Framework for Mandatory Disclosure of AI-Generated and AI-Altered Video Content, establishing legal and procedural requirements for labeling and governing synthetic video media. The framework is designed to promote transparency, assign clear responsibility to key stakeholders, and preserve the integrity of public discourse while enabling beneficial innovation to flourish.</w:t>
      </w:r>
    </w:p>
    <w:p>
      <w:pPr>
        <w:pStyle w:val="Heading"/>
      </w:pPr>
      <w:r>
        <w:rPr>
          <w:outline w:val="0"/>
          <w:color w:val="003366"/>
          <w:u w:color="003366"/>
          <w:rtl w:val="0"/>
          <w:lang w:val="en-US"/>
          <w14:textFill>
            <w14:solidFill>
              <w14:srgbClr w14:val="003366"/>
            </w14:solidFill>
          </w14:textFill>
        </w:rPr>
        <w:t>2. Background, Context, and Rationale</w:t>
      </w:r>
    </w:p>
    <w:p>
      <w:pPr>
        <w:pStyle w:val="Body"/>
        <w:jc w:val="both"/>
      </w:pPr>
      <w:r>
        <w:rPr>
          <w:rtl w:val="0"/>
          <w:lang w:val="en-US"/>
        </w:rPr>
        <w:t>Recent advances in deep learning, generative models, and neural rendering have enabled the fabrication and alteration of videos that convincingly mimic real individuals, voices, and events. While these capabilities can be harnessed for legitimate purposes</w:t>
      </w:r>
      <w:r>
        <w:rPr>
          <w:rtl w:val="0"/>
          <w:lang w:val="en-US"/>
        </w:rPr>
        <w:t>—</w:t>
      </w:r>
      <w:r>
        <w:rPr>
          <w:rtl w:val="0"/>
          <w:lang w:val="en-US"/>
        </w:rPr>
        <w:t>including accessibility tools, entertainment, educational content, and creative expression</w:t>
      </w:r>
      <w:r>
        <w:rPr>
          <w:rtl w:val="0"/>
          <w:lang w:val="en-US"/>
        </w:rPr>
        <w:t>—</w:t>
      </w:r>
      <w:r>
        <w:rPr>
          <w:rtl w:val="0"/>
          <w:lang w:val="en-US"/>
        </w:rPr>
        <w:t>they also facilitate the spread of misleading information and enable impersonation of real persons.</w:t>
      </w:r>
    </w:p>
    <w:p>
      <w:pPr>
        <w:pStyle w:val="Body"/>
        <w:jc w:val="both"/>
      </w:pPr>
      <w:r>
        <w:rPr>
          <w:rtl w:val="0"/>
          <w:lang w:val="en-US"/>
        </w:rPr>
        <w:t>The misuse of synthetic media, particularly 'deepfakes,' for political manipulation, financial fraud, harassment, and non-consensual intimate content has demonstrated how these technologies can undermine democratic debate and individual dignity. Without enforceable disclosure norms, viewers cannot reliably assess the authenticity of content they encounter, and institutions struggle to respond effectively to reputational harms, misinformation campaigns, and targeted abuse.</w:t>
      </w:r>
    </w:p>
    <w:p>
      <w:pPr>
        <w:pStyle w:val="Body"/>
        <w:jc w:val="both"/>
      </w:pPr>
      <w:r>
        <w:rPr>
          <w:rtl w:val="0"/>
          <w:lang w:val="en-US"/>
        </w:rPr>
        <w:t>Against this backdrop, there exists a pressing need for a structured regulatory response that places transparency and accountability at the center of AI-enabled video ecosystems. This framework aims to align the responsibilities of content creators, digital platforms, and AI technology providers within a coherent set of obligations and safeguards.</w:t>
      </w:r>
    </w:p>
    <w:p>
      <w:pPr>
        <w:pStyle w:val="Heading"/>
      </w:pPr>
      <w:r>
        <w:rPr>
          <w:outline w:val="0"/>
          <w:color w:val="003366"/>
          <w:u w:color="003366"/>
          <w:rtl w:val="0"/>
          <w:lang w:val="en-US"/>
          <w14:textFill>
            <w14:solidFill>
              <w14:srgbClr w14:val="003366"/>
            </w14:solidFill>
          </w14:textFill>
        </w:rPr>
        <w:t>3. Policy Objectives</w:t>
      </w:r>
    </w:p>
    <w:p>
      <w:pPr>
        <w:pStyle w:val="Body"/>
        <w:jc w:val="both"/>
      </w:pPr>
      <w:r>
        <w:rPr>
          <w:rtl w:val="0"/>
          <w:lang w:val="en-US"/>
        </w:rPr>
        <w:t>The proposed framework pursues the following objectives:</w:t>
      </w:r>
    </w:p>
    <w:p>
      <w:pPr>
        <w:pStyle w:val="List Bullet"/>
        <w:numPr>
          <w:ilvl w:val="0"/>
          <w:numId w:val="2"/>
        </w:numPr>
      </w:pPr>
      <w:r>
        <w:rPr>
          <w:rtl w:val="0"/>
          <w:lang w:val="en-US"/>
        </w:rPr>
        <w:t>Require clear and consistent disclosure for AI-generated and AI-altered video content across all major digital distribution channels.</w:t>
      </w:r>
    </w:p>
    <w:p>
      <w:pPr>
        <w:pStyle w:val="List Bullet"/>
        <w:numPr>
          <w:ilvl w:val="0"/>
          <w:numId w:val="2"/>
        </w:numPr>
      </w:pPr>
      <w:r>
        <w:rPr>
          <w:rtl w:val="0"/>
          <w:lang w:val="en-US"/>
        </w:rPr>
        <w:t>Protect individuals and institutions from impersonation, identity misuse, and deceptive visual manipulation.</w:t>
      </w:r>
    </w:p>
    <w:p>
      <w:pPr>
        <w:pStyle w:val="List Bullet"/>
        <w:numPr>
          <w:ilvl w:val="0"/>
          <w:numId w:val="2"/>
        </w:numPr>
      </w:pPr>
      <w:r>
        <w:rPr>
          <w:rtl w:val="0"/>
          <w:lang w:val="en-US"/>
        </w:rPr>
        <w:t>Strengthen public confidence in digital communication, media institutions, and information systems.</w:t>
      </w:r>
    </w:p>
    <w:p>
      <w:pPr>
        <w:pStyle w:val="List Bullet"/>
        <w:numPr>
          <w:ilvl w:val="0"/>
          <w:numId w:val="2"/>
        </w:numPr>
      </w:pPr>
      <w:r>
        <w:rPr>
          <w:rtl w:val="0"/>
          <w:lang w:val="en-US"/>
        </w:rPr>
        <w:t>Limit malicious or harmful applications of synthetic media while preserving lawful and beneficial uses of AI technology.</w:t>
      </w:r>
    </w:p>
    <w:p>
      <w:pPr>
        <w:pStyle w:val="List Bullet"/>
        <w:numPr>
          <w:ilvl w:val="0"/>
          <w:numId w:val="2"/>
        </w:numPr>
      </w:pPr>
      <w:r>
        <w:rPr>
          <w:rtl w:val="0"/>
          <w:lang w:val="en-US"/>
        </w:rPr>
        <w:t>Clarify the respective responsibilities of content creators, distributors, digital intermediaries, and AI system providers.</w:t>
      </w:r>
    </w:p>
    <w:p>
      <w:pPr>
        <w:pStyle w:val="Body"/>
      </w:pPr>
    </w:p>
    <w:p>
      <w:pPr>
        <w:pStyle w:val="Heading"/>
      </w:pPr>
      <w:r>
        <w:rPr>
          <w:outline w:val="0"/>
          <w:color w:val="003366"/>
          <w:u w:color="003366"/>
          <w:rtl w:val="0"/>
          <w:lang w:val="en-US"/>
          <w14:textFill>
            <w14:solidFill>
              <w14:srgbClr w14:val="003366"/>
            </w14:solidFill>
          </w14:textFill>
        </w:rPr>
        <w:t>4. Key Definitions</w:t>
      </w:r>
    </w:p>
    <w:p>
      <w:pPr>
        <w:pStyle w:val="Body"/>
        <w:jc w:val="both"/>
      </w:pPr>
      <w:r>
        <w:rPr>
          <w:rtl w:val="0"/>
          <w:lang w:val="en-US"/>
        </w:rPr>
        <w:t>For the purposes of this framework:</w:t>
      </w:r>
    </w:p>
    <w:p>
      <w:pPr>
        <w:pStyle w:val="Body"/>
        <w:jc w:val="both"/>
      </w:pPr>
      <w:r>
        <w:rPr>
          <w:b w:val="1"/>
          <w:bCs w:val="1"/>
          <w:rtl w:val="0"/>
          <w:lang w:val="en-US"/>
        </w:rPr>
        <w:t>AI-Generated Video:</w:t>
      </w:r>
      <w:r>
        <w:rPr>
          <w:rtl w:val="0"/>
          <w:lang w:val="en-US"/>
        </w:rPr>
        <w:t xml:space="preserve"> Video content produced entirely by an artificial intelligence system without direct real-world recording or human-captured footage.</w:t>
      </w:r>
    </w:p>
    <w:p>
      <w:pPr>
        <w:pStyle w:val="Body"/>
        <w:jc w:val="both"/>
      </w:pPr>
      <w:r>
        <w:rPr>
          <w:b w:val="1"/>
          <w:bCs w:val="1"/>
          <w:rtl w:val="0"/>
          <w:lang w:val="de-DE"/>
        </w:rPr>
        <w:t>AI-Altered Video:</w:t>
      </w:r>
      <w:r>
        <w:rPr>
          <w:rtl w:val="0"/>
          <w:lang w:val="en-US"/>
        </w:rPr>
        <w:t xml:space="preserve"> Video content that originates from real-world footage but has been significantly modified using AI techniques, including but not limited to face-swapping, voice synthesis, behavioral manipulation, or scene alteration.</w:t>
      </w:r>
    </w:p>
    <w:p>
      <w:pPr>
        <w:pStyle w:val="Body"/>
        <w:jc w:val="both"/>
      </w:pPr>
      <w:r>
        <w:rPr>
          <w:b w:val="1"/>
          <w:bCs w:val="1"/>
          <w:rtl w:val="0"/>
          <w:lang w:val="en-US"/>
        </w:rPr>
        <w:t>Synthetic Media:</w:t>
      </w:r>
      <w:r>
        <w:rPr>
          <w:rtl w:val="0"/>
          <w:lang w:val="en-US"/>
        </w:rPr>
        <w:t xml:space="preserve"> Any audio-visual content that has been created or substantially modified using artificial intelligence to imitate real persons, events, or environments.</w:t>
      </w:r>
    </w:p>
    <w:p>
      <w:pPr>
        <w:pStyle w:val="Body"/>
        <w:jc w:val="both"/>
      </w:pPr>
      <w:r>
        <w:rPr>
          <w:b w:val="1"/>
          <w:bCs w:val="1"/>
          <w:rtl w:val="0"/>
          <w:lang w:val="en-US"/>
        </w:rPr>
        <w:t>Disclosure:</w:t>
      </w:r>
      <w:r>
        <w:rPr>
          <w:rtl w:val="0"/>
          <w:lang w:val="en-US"/>
        </w:rPr>
        <w:t xml:space="preserve"> A clear, visible, and intelligible statement that informs viewers that the video content has been generated or materially altered using AI technology.</w:t>
      </w:r>
    </w:p>
    <w:p>
      <w:pPr>
        <w:pStyle w:val="Body"/>
        <w:jc w:val="both"/>
      </w:pPr>
      <w:r>
        <w:rPr>
          <w:b w:val="1"/>
          <w:bCs w:val="1"/>
          <w:rtl w:val="0"/>
        </w:rPr>
        <w:t>Platform:</w:t>
      </w:r>
      <w:r>
        <w:rPr>
          <w:rtl w:val="0"/>
          <w:lang w:val="en-US"/>
        </w:rPr>
        <w:t xml:space="preserve"> Any digital intermediary or service</w:t>
      </w:r>
      <w:r>
        <w:rPr>
          <w:rtl w:val="0"/>
          <w:lang w:val="en-US"/>
        </w:rPr>
        <w:t>—</w:t>
      </w:r>
      <w:r>
        <w:rPr>
          <w:rtl w:val="0"/>
          <w:lang w:val="en-US"/>
        </w:rPr>
        <w:t>including social media networks, video-hosting sites, content-sharing applications, or streaming services</w:t>
      </w:r>
      <w:r>
        <w:rPr>
          <w:rtl w:val="0"/>
          <w:lang w:val="en-US"/>
        </w:rPr>
        <w:t>—</w:t>
      </w:r>
      <w:r>
        <w:rPr>
          <w:rtl w:val="0"/>
          <w:lang w:val="en-US"/>
        </w:rPr>
        <w:t>that hosts, recommends, distributes, or otherwise enables access to video content.</w:t>
      </w:r>
    </w:p>
    <w:p>
      <w:pPr>
        <w:pStyle w:val="Body"/>
      </w:pPr>
    </w:p>
    <w:p>
      <w:pPr>
        <w:pStyle w:val="Heading"/>
      </w:pPr>
      <w:r>
        <w:rPr>
          <w:outline w:val="0"/>
          <w:color w:val="003366"/>
          <w:u w:color="003366"/>
          <w:rtl w:val="0"/>
          <w:lang w:val="en-US"/>
          <w14:textFill>
            <w14:solidFill>
              <w14:srgbClr w14:val="003366"/>
            </w14:solidFill>
          </w14:textFill>
        </w:rPr>
        <w:t>5. Guiding Principles</w:t>
      </w:r>
    </w:p>
    <w:p>
      <w:pPr>
        <w:pStyle w:val="Body"/>
        <w:jc w:val="both"/>
      </w:pPr>
      <w:r>
        <w:rPr>
          <w:b w:val="1"/>
          <w:bCs w:val="1"/>
          <w:rtl w:val="0"/>
          <w:lang w:val="en-US"/>
        </w:rPr>
        <w:t>Transparency as a Fundamental Duty:</w:t>
      </w:r>
      <w:r>
        <w:rPr>
          <w:rtl w:val="0"/>
          <w:lang w:val="en-US"/>
        </w:rPr>
        <w:t xml:space="preserve"> Disclosure of AI-generated and AI-altered video content must be a mandatory requirement, not a voluntary practice or industry courtesy.</w:t>
      </w:r>
    </w:p>
    <w:p>
      <w:pPr>
        <w:pStyle w:val="Body"/>
        <w:jc w:val="both"/>
      </w:pPr>
      <w:r>
        <w:rPr>
          <w:b w:val="1"/>
          <w:bCs w:val="1"/>
          <w:rtl w:val="0"/>
          <w:lang w:val="en-US"/>
        </w:rPr>
        <w:t>Accountability by Design:</w:t>
      </w:r>
      <w:r>
        <w:rPr>
          <w:rtl w:val="0"/>
          <w:lang w:val="en-US"/>
        </w:rPr>
        <w:t xml:space="preserve"> Responsibility for the creation and distribution of synthetic media must be clearly assigned and shared among creators, platforms, and AI technology providers, with appropriate mechanisms for documentation and oversight.</w:t>
      </w:r>
    </w:p>
    <w:p>
      <w:pPr>
        <w:pStyle w:val="Body"/>
        <w:jc w:val="both"/>
      </w:pPr>
      <w:r>
        <w:rPr>
          <w:b w:val="1"/>
          <w:bCs w:val="1"/>
          <w:rtl w:val="0"/>
          <w:lang w:val="en-US"/>
        </w:rPr>
        <w:t>Proportional and Enabling Regulation:</w:t>
      </w:r>
      <w:r>
        <w:rPr>
          <w:rtl w:val="0"/>
          <w:lang w:val="en-US"/>
        </w:rPr>
        <w:t xml:space="preserve"> Regulatory measures should effectively prevent and penalize harmful uses of AI-generated content while preserving adequate space for research, innovation, creative expression, and educational applications.</w:t>
      </w:r>
    </w:p>
    <w:p>
      <w:pPr>
        <w:pStyle w:val="Body"/>
        <w:jc w:val="both"/>
      </w:pPr>
      <w:r>
        <w:rPr>
          <w:b w:val="1"/>
          <w:bCs w:val="1"/>
          <w:rtl w:val="0"/>
          <w:lang w:val="en-US"/>
        </w:rPr>
        <w:t>Respect for Human Rights and Dignity:</w:t>
      </w:r>
      <w:r>
        <w:rPr>
          <w:rtl w:val="0"/>
          <w:lang w:val="en-US"/>
        </w:rPr>
        <w:t xml:space="preserve"> Protection of privacy, informed consent, reputation, and human dignity must guide both rule-making and enforcement activities under this framework.</w:t>
      </w:r>
    </w:p>
    <w:p>
      <w:pPr>
        <w:pStyle w:val="Body"/>
      </w:pPr>
    </w:p>
    <w:p>
      <w:pPr>
        <w:pStyle w:val="Body"/>
      </w:pPr>
      <w:r>
        <w:rPr>
          <w:rFonts w:ascii="Arial Unicode MS" w:cs="Arial Unicode MS" w:hAnsi="Arial Unicode MS" w:eastAsia="Arial Unicode MS"/>
          <w:b w:val="0"/>
          <w:bCs w:val="0"/>
          <w:i w:val="0"/>
          <w:iCs w:val="0"/>
        </w:rPr>
        <w:br w:type="page"/>
      </w:r>
    </w:p>
    <w:p>
      <w:pPr>
        <w:pStyle w:val="Heading"/>
      </w:pPr>
      <w:r>
        <w:rPr>
          <w:outline w:val="0"/>
          <w:color w:val="003366"/>
          <w:u w:color="003366"/>
          <w:rtl w:val="0"/>
          <w:lang w:val="en-US"/>
          <w14:textFill>
            <w14:solidFill>
              <w14:srgbClr w14:val="003366"/>
            </w14:solidFill>
          </w14:textFill>
        </w:rPr>
        <w:t>6. Core Policy Provisions</w:t>
      </w:r>
    </w:p>
    <w:p>
      <w:pPr>
        <w:pStyle w:val="Heading 2"/>
      </w:pPr>
      <w:r>
        <w:rPr>
          <w:outline w:val="0"/>
          <w:color w:val="004c99"/>
          <w:u w:color="004c99"/>
          <w:rtl w:val="0"/>
          <w:lang w:val="en-US"/>
          <w14:textFill>
            <w14:solidFill>
              <w14:srgbClr w14:val="004C99"/>
            </w14:solidFill>
          </w14:textFill>
        </w:rPr>
        <w:t>6.1 Mandatory Disclosure</w:t>
      </w:r>
    </w:p>
    <w:p>
      <w:pPr>
        <w:pStyle w:val="Body"/>
        <w:jc w:val="both"/>
      </w:pPr>
      <w:r>
        <w:rPr>
          <w:rtl w:val="0"/>
          <w:lang w:val="en-US"/>
        </w:rPr>
        <w:t>All AI-generated and AI-altered video content distributed through digital channels must include a clearly visible on-screen label stating either:</w:t>
      </w:r>
    </w:p>
    <w:p>
      <w:pPr>
        <w:pStyle w:val="List Bullet"/>
        <w:numPr>
          <w:ilvl w:val="0"/>
          <w:numId w:val="2"/>
        </w:numPr>
      </w:pPr>
      <w:r>
        <w:rPr>
          <w:rtl w:val="0"/>
          <w:lang w:val="en-US"/>
        </w:rPr>
        <w:t>"This video is AI-generated"; or</w:t>
      </w:r>
    </w:p>
    <w:p>
      <w:pPr>
        <w:pStyle w:val="List Bullet"/>
        <w:numPr>
          <w:ilvl w:val="0"/>
          <w:numId w:val="2"/>
        </w:numPr>
      </w:pPr>
      <w:r>
        <w:rPr>
          <w:rtl w:val="0"/>
          <w:lang w:val="en-US"/>
        </w:rPr>
        <w:t>"This video contains AI-altered content."</w:t>
      </w:r>
    </w:p>
    <w:p>
      <w:pPr>
        <w:pStyle w:val="Body"/>
        <w:jc w:val="both"/>
      </w:pPr>
      <w:r>
        <w:rPr>
          <w:rtl w:val="0"/>
          <w:lang w:val="en-US"/>
        </w:rPr>
        <w:t>The disclosure label must satisfy the following requirements:</w:t>
      </w:r>
    </w:p>
    <w:p>
      <w:pPr>
        <w:pStyle w:val="List Bullet"/>
        <w:numPr>
          <w:ilvl w:val="0"/>
          <w:numId w:val="2"/>
        </w:numPr>
      </w:pPr>
      <w:r>
        <w:rPr>
          <w:rtl w:val="0"/>
          <w:lang w:val="en-US"/>
        </w:rPr>
        <w:t>Be easily visible and understandable to a reasonable viewer.</w:t>
      </w:r>
    </w:p>
    <w:p>
      <w:pPr>
        <w:pStyle w:val="List Bullet"/>
        <w:numPr>
          <w:ilvl w:val="0"/>
          <w:numId w:val="2"/>
        </w:numPr>
      </w:pPr>
      <w:r>
        <w:rPr>
          <w:rtl w:val="0"/>
          <w:lang w:val="en-US"/>
        </w:rPr>
        <w:t>Be displayed prominently at the beginning of the video and/or remain present throughout playback.</w:t>
      </w:r>
    </w:p>
    <w:p>
      <w:pPr>
        <w:pStyle w:val="List Bullet"/>
        <w:numPr>
          <w:ilvl w:val="0"/>
          <w:numId w:val="2"/>
        </w:numPr>
      </w:pPr>
      <w:r>
        <w:rPr>
          <w:rtl w:val="0"/>
          <w:lang w:val="en-US"/>
        </w:rPr>
        <w:t>Not be obscured, minimized, or styled in a manner that could confuse or mislead viewers.</w:t>
      </w:r>
    </w:p>
    <w:p>
      <w:pPr>
        <w:pStyle w:val="List Bullet"/>
        <w:numPr>
          <w:ilvl w:val="0"/>
          <w:numId w:val="2"/>
        </w:numPr>
      </w:pPr>
      <w:r>
        <w:rPr>
          <w:rtl w:val="0"/>
          <w:lang w:val="en-US"/>
        </w:rPr>
        <w:t>Be provided in a language appropriate to the target audience and distribution channel.</w:t>
      </w:r>
    </w:p>
    <w:p>
      <w:pPr>
        <w:pStyle w:val="Body"/>
      </w:pPr>
    </w:p>
    <w:p>
      <w:pPr>
        <w:pStyle w:val="Heading 2"/>
      </w:pPr>
      <w:r>
        <w:rPr>
          <w:outline w:val="0"/>
          <w:color w:val="004c99"/>
          <w:u w:color="004c99"/>
          <w:rtl w:val="0"/>
          <w:lang w:val="en-US"/>
          <w14:textFill>
            <w14:solidFill>
              <w14:srgbClr w14:val="004C99"/>
            </w14:solidFill>
          </w14:textFill>
        </w:rPr>
        <w:t>6.2 Legal Status of Non-Disclosure</w:t>
      </w:r>
    </w:p>
    <w:p>
      <w:pPr>
        <w:pStyle w:val="Body"/>
        <w:jc w:val="both"/>
      </w:pPr>
      <w:r>
        <w:rPr>
          <w:rtl w:val="0"/>
          <w:lang w:val="en-US"/>
        </w:rPr>
        <w:t>The distribution of synthetic video content without the required disclosure shall be treated as an act of digital misrepresentation and subject to legal consequences, except in clearly defined circumstances where exemptions apply (as outlined in Section 7). Non-compliance may result in content removal, civil liability, and in cases of malicious intent or significant harm, criminal penalties under applicable law.</w:t>
      </w:r>
    </w:p>
    <w:p>
      <w:pPr>
        <w:pStyle w:val="Heading 2"/>
      </w:pPr>
      <w:r>
        <w:rPr>
          <w:outline w:val="0"/>
          <w:color w:val="004c99"/>
          <w:u w:color="004c99"/>
          <w:rtl w:val="0"/>
          <w:lang w:val="en-US"/>
          <w14:textFill>
            <w14:solidFill>
              <w14:srgbClr w14:val="004C99"/>
            </w14:solidFill>
          </w14:textFill>
        </w:rPr>
        <w:t>6.3 Obligations of Digital Platforms</w:t>
      </w:r>
    </w:p>
    <w:p>
      <w:pPr>
        <w:pStyle w:val="Body"/>
        <w:jc w:val="both"/>
      </w:pPr>
      <w:r>
        <w:rPr>
          <w:rtl w:val="0"/>
          <w:lang w:val="en-US"/>
        </w:rPr>
        <w:t>Platforms that host or distribute video content shall be required to:</w:t>
      </w:r>
    </w:p>
    <w:p>
      <w:pPr>
        <w:pStyle w:val="List Bullet"/>
        <w:numPr>
          <w:ilvl w:val="0"/>
          <w:numId w:val="2"/>
        </w:numPr>
      </w:pPr>
      <w:r>
        <w:rPr>
          <w:rtl w:val="0"/>
          <w:lang w:val="en-US"/>
        </w:rPr>
        <w:t>Provide user-facing tools and clear processes that enable content creators to label AI-generated and AI-altered content easily and accurately.</w:t>
      </w:r>
    </w:p>
    <w:p>
      <w:pPr>
        <w:pStyle w:val="List Bullet"/>
        <w:numPr>
          <w:ilvl w:val="0"/>
          <w:numId w:val="2"/>
        </w:numPr>
      </w:pPr>
      <w:r>
        <w:rPr>
          <w:rtl w:val="0"/>
          <w:lang w:val="en-US"/>
        </w:rPr>
        <w:t>Deploy reasonable technical and procedural measures to detect and flag undisclosed synthetic media, including but not limited to automated detection systems and user reporting mechanisms.</w:t>
      </w:r>
    </w:p>
    <w:p>
      <w:pPr>
        <w:pStyle w:val="List Bullet"/>
        <w:numPr>
          <w:ilvl w:val="0"/>
          <w:numId w:val="2"/>
        </w:numPr>
      </w:pPr>
      <w:r>
        <w:rPr>
          <w:rtl w:val="0"/>
          <w:lang w:val="en-US"/>
        </w:rPr>
        <w:t>Remove, restrict visibility of, or append corrective disclosures to content that violates disclosure requirements within defined and reasonable timeframes.</w:t>
      </w:r>
    </w:p>
    <w:p>
      <w:pPr>
        <w:pStyle w:val="List Bullet"/>
        <w:numPr>
          <w:ilvl w:val="0"/>
          <w:numId w:val="2"/>
        </w:numPr>
      </w:pPr>
      <w:r>
        <w:rPr>
          <w:rtl w:val="0"/>
          <w:lang w:val="en-US"/>
        </w:rPr>
        <w:t>Publish periodic transparency reports detailing their handling of synthetic media, including volume of flagged content, categories of violations, enforcement actions taken, and cooperation with regulatory authorities.</w:t>
      </w:r>
    </w:p>
    <w:p>
      <w:pPr>
        <w:pStyle w:val="List Bullet"/>
        <w:numPr>
          <w:ilvl w:val="0"/>
          <w:numId w:val="2"/>
        </w:numPr>
      </w:pPr>
      <w:r>
        <w:rPr>
          <w:rtl w:val="0"/>
          <w:lang w:val="en-US"/>
        </w:rPr>
        <w:t>Collaborate with law enforcement and regulatory agencies in investigations involving harmful, fraudulent, or unlawful synthetic content.</w:t>
      </w:r>
    </w:p>
    <w:p>
      <w:pPr>
        <w:pStyle w:val="List Bullet"/>
        <w:numPr>
          <w:ilvl w:val="0"/>
          <w:numId w:val="2"/>
        </w:numPr>
      </w:pPr>
      <w:r>
        <w:rPr>
          <w:rtl w:val="0"/>
          <w:lang w:val="en-US"/>
        </w:rPr>
        <w:t>Implement age-appropriate safeguards and content filters to protect minors from exposure to harmful synthetic media.</w:t>
      </w:r>
    </w:p>
    <w:p>
      <w:pPr>
        <w:pStyle w:val="Body"/>
        <w:jc w:val="both"/>
      </w:pPr>
      <w:r>
        <w:rPr>
          <w:rtl w:val="0"/>
          <w:lang w:val="en-US"/>
        </w:rPr>
        <w:t>Persistent or systematic failure to fulfill these obligations shall attract regulatory penalties, which may include monetary fines, enhanced oversight requirements, or operational restrictions as determined by the competent authority.</w:t>
      </w:r>
    </w:p>
    <w:p>
      <w:pPr>
        <w:pStyle w:val="Heading 2"/>
      </w:pPr>
      <w:r>
        <w:rPr>
          <w:outline w:val="0"/>
          <w:color w:val="004c99"/>
          <w:u w:color="004c99"/>
          <w:rtl w:val="0"/>
          <w:lang w:val="en-US"/>
          <w14:textFill>
            <w14:solidFill>
              <w14:srgbClr w14:val="004C99"/>
            </w14:solidFill>
          </w14:textFill>
        </w:rPr>
        <w:t>6.4 Protection Against Non-Consensual and Harmful Use</w:t>
      </w:r>
    </w:p>
    <w:p>
      <w:pPr>
        <w:pStyle w:val="Body"/>
        <w:jc w:val="both"/>
      </w:pPr>
      <w:r>
        <w:rPr>
          <w:rtl w:val="0"/>
          <w:lang w:val="en-US"/>
        </w:rPr>
        <w:t>Stronger safeguards and stricter penalties shall apply where synthetic video content:</w:t>
      </w:r>
    </w:p>
    <w:p>
      <w:pPr>
        <w:pStyle w:val="List Bullet"/>
        <w:numPr>
          <w:ilvl w:val="0"/>
          <w:numId w:val="2"/>
        </w:numPr>
      </w:pPr>
      <w:r>
        <w:rPr>
          <w:rtl w:val="0"/>
          <w:lang w:val="en-US"/>
        </w:rPr>
        <w:t>Reproduces a person's face, voice, likeness, or identity without their informed and documented consent.</w:t>
      </w:r>
    </w:p>
    <w:p>
      <w:pPr>
        <w:pStyle w:val="List Bullet"/>
        <w:numPr>
          <w:ilvl w:val="0"/>
          <w:numId w:val="2"/>
        </w:numPr>
      </w:pPr>
      <w:r>
        <w:rPr>
          <w:rtl w:val="0"/>
          <w:lang w:val="en-US"/>
        </w:rPr>
        <w:t>Misrepresents public officials, candidates for public office, or private individuals in ways that distort public understanding, decision-making, or electoral processes.</w:t>
      </w:r>
    </w:p>
    <w:p>
      <w:pPr>
        <w:pStyle w:val="List Bullet"/>
        <w:numPr>
          <w:ilvl w:val="0"/>
          <w:numId w:val="2"/>
        </w:numPr>
      </w:pPr>
      <w:r>
        <w:rPr>
          <w:rtl w:val="0"/>
          <w:lang w:val="en-US"/>
        </w:rPr>
        <w:t>Causes or is reasonably likely to cause reputational, psychological, emotional, or financial harm to identifiable individuals.</w:t>
      </w:r>
    </w:p>
    <w:p>
      <w:pPr>
        <w:pStyle w:val="List Bullet"/>
        <w:numPr>
          <w:ilvl w:val="0"/>
          <w:numId w:val="2"/>
        </w:numPr>
      </w:pPr>
      <w:r>
        <w:rPr>
          <w:rtl w:val="0"/>
          <w:lang w:val="en-US"/>
        </w:rPr>
        <w:t>Targets women, children, ethnic or religious minorities, or other vulnerable or marginalized groups for harassment, defamation, or exploitation.</w:t>
      </w:r>
    </w:p>
    <w:p>
      <w:pPr>
        <w:pStyle w:val="List Bullet"/>
        <w:numPr>
          <w:ilvl w:val="0"/>
          <w:numId w:val="2"/>
        </w:numPr>
      </w:pPr>
      <w:r>
        <w:rPr>
          <w:rtl w:val="0"/>
          <w:lang w:val="en-US"/>
        </w:rPr>
        <w:t>Constitutes non-consensual intimate imagery or sexual content.</w:t>
      </w:r>
    </w:p>
    <w:p>
      <w:pPr>
        <w:pStyle w:val="Body"/>
        <w:jc w:val="both"/>
      </w:pPr>
      <w:r>
        <w:rPr>
          <w:rtl w:val="0"/>
          <w:lang w:val="en-US"/>
        </w:rPr>
        <w:t>Such conduct shall attract civil remedies including injunctive relief, damages, and corrective disclosures. In cases involving malicious intent, significant harm, or violation of criminal statutes, criminal penalties including fines and imprisonment may be imposed under applicable law.</w:t>
      </w:r>
    </w:p>
    <w:p>
      <w:pPr>
        <w:pStyle w:val="Heading"/>
      </w:pPr>
      <w:r>
        <w:rPr>
          <w:outline w:val="0"/>
          <w:color w:val="003366"/>
          <w:u w:color="003366"/>
          <w:rtl w:val="0"/>
          <w:lang w:val="en-US"/>
          <w14:textFill>
            <w14:solidFill>
              <w14:srgbClr w14:val="003366"/>
            </w14:solidFill>
          </w14:textFill>
        </w:rPr>
        <w:t>7. Exceptions and Conditional Exemptions</w:t>
      </w:r>
    </w:p>
    <w:p>
      <w:pPr>
        <w:pStyle w:val="Body"/>
        <w:jc w:val="both"/>
      </w:pPr>
      <w:r>
        <w:rPr>
          <w:rtl w:val="0"/>
          <w:lang w:val="en-US"/>
        </w:rPr>
        <w:t>Subject to appropriate safeguards, documentation, and regulatory oversight, limited exemptions from mandatory disclosure requirements may be considered for the following categories:</w:t>
      </w:r>
    </w:p>
    <w:p>
      <w:pPr>
        <w:pStyle w:val="List Bullet"/>
        <w:numPr>
          <w:ilvl w:val="0"/>
          <w:numId w:val="2"/>
        </w:numPr>
      </w:pPr>
      <w:r>
        <w:rPr>
          <w:rtl w:val="0"/>
          <w:lang w:val="en-US"/>
        </w:rPr>
        <w:t>Academic or scientific research that has received formal ethical approval from a recognized institutional review board or research ethics committee.</w:t>
      </w:r>
    </w:p>
    <w:p>
      <w:pPr>
        <w:pStyle w:val="List Bullet"/>
        <w:numPr>
          <w:ilvl w:val="0"/>
          <w:numId w:val="2"/>
        </w:numPr>
      </w:pPr>
      <w:r>
        <w:rPr>
          <w:rtl w:val="0"/>
          <w:lang w:val="en-US"/>
        </w:rPr>
        <w:t>Activities carried out by competent government authorities for legitimate national security purposes, lawful criminal investigation, or intelligence operations, subject to judicial oversight and human rights safeguards.</w:t>
      </w:r>
    </w:p>
    <w:p>
      <w:pPr>
        <w:pStyle w:val="List Bullet"/>
        <w:numPr>
          <w:ilvl w:val="0"/>
          <w:numId w:val="2"/>
        </w:numPr>
      </w:pPr>
      <w:r>
        <w:rPr>
          <w:rtl w:val="0"/>
          <w:lang w:val="en-US"/>
        </w:rPr>
        <w:t>Clearly fictional, artistic, satirical, or parody content where a reasonable and informed viewer would not be deceived about the synthetic nature of the content, and where appropriate contextual cues are provided.</w:t>
      </w:r>
    </w:p>
    <w:p>
      <w:pPr>
        <w:pStyle w:val="Body"/>
        <w:jc w:val="both"/>
      </w:pPr>
      <w:r>
        <w:rPr>
          <w:b w:val="1"/>
          <w:bCs w:val="1"/>
          <w:rtl w:val="0"/>
          <w:lang w:val="en-US"/>
        </w:rPr>
        <w:t xml:space="preserve">Important Limitation: </w:t>
      </w:r>
      <w:r>
        <w:rPr>
          <w:rtl w:val="0"/>
          <w:lang w:val="en-US"/>
        </w:rPr>
        <w:t>Even within these exempt categories, content created with malicious intent, designed to cause targeted harm, or deliberately structured to deceive the public shall not be protected and shall remain subject to disclosure requirements and legal penalties.</w:t>
      </w:r>
    </w:p>
    <w:p>
      <w:pPr>
        <w:pStyle w:val="Heading"/>
      </w:pPr>
      <w:r>
        <w:rPr>
          <w:outline w:val="0"/>
          <w:color w:val="003366"/>
          <w:u w:color="003366"/>
          <w:rtl w:val="0"/>
          <w:lang w:val="en-US"/>
          <w14:textFill>
            <w14:solidFill>
              <w14:srgbClr w14:val="003366"/>
            </w14:solidFill>
          </w14:textFill>
        </w:rPr>
        <w:t>8. Enforcement and Implementation</w:t>
      </w:r>
    </w:p>
    <w:p>
      <w:pPr>
        <w:pStyle w:val="Body"/>
        <w:jc w:val="both"/>
      </w:pPr>
      <w:r>
        <w:rPr>
          <w:rtl w:val="0"/>
          <w:lang w:val="en-US"/>
        </w:rPr>
        <w:t>This framework shall be implemented through coordinated action by:</w:t>
      </w:r>
    </w:p>
    <w:p>
      <w:pPr>
        <w:pStyle w:val="List Bullet"/>
        <w:numPr>
          <w:ilvl w:val="0"/>
          <w:numId w:val="2"/>
        </w:numPr>
      </w:pPr>
      <w:r>
        <w:rPr>
          <w:rtl w:val="0"/>
          <w:lang w:val="en-US"/>
        </w:rPr>
        <w:t>The designated national authority responsible for digital governance, information technology regulation, or telecommunications oversight.</w:t>
      </w:r>
    </w:p>
    <w:p>
      <w:pPr>
        <w:pStyle w:val="List Bullet"/>
        <w:numPr>
          <w:ilvl w:val="0"/>
          <w:numId w:val="2"/>
        </w:numPr>
      </w:pPr>
      <w:r>
        <w:rPr>
          <w:rtl w:val="0"/>
          <w:lang w:val="en-US"/>
        </w:rPr>
        <w:t>Media and communications regulators with jurisdiction over broadcasting, online content distribution, and platform accountability.</w:t>
      </w:r>
    </w:p>
    <w:p>
      <w:pPr>
        <w:pStyle w:val="List Bullet"/>
        <w:numPr>
          <w:ilvl w:val="0"/>
          <w:numId w:val="2"/>
        </w:numPr>
      </w:pPr>
      <w:r>
        <w:rPr>
          <w:rtl w:val="0"/>
          <w:lang w:val="en-US"/>
        </w:rPr>
        <w:t>Cybercrime investigation units and law enforcement agencies tasked with investigating digital offenses and protecting citizens from online harms.</w:t>
      </w:r>
    </w:p>
    <w:p>
      <w:pPr>
        <w:pStyle w:val="List Bullet"/>
        <w:numPr>
          <w:ilvl w:val="0"/>
          <w:numId w:val="2"/>
        </w:numPr>
      </w:pPr>
      <w:r>
        <w:rPr>
          <w:rtl w:val="0"/>
          <w:lang w:val="en-US"/>
        </w:rPr>
        <w:t>Data protection authorities responsible for privacy rights and personal data governance.</w:t>
      </w:r>
    </w:p>
    <w:p>
      <w:pPr>
        <w:pStyle w:val="Body"/>
        <w:jc w:val="both"/>
      </w:pPr>
      <w:r>
        <w:rPr>
          <w:b w:val="1"/>
          <w:bCs w:val="1"/>
          <w:rtl w:val="0"/>
          <w:lang w:val="en-US"/>
        </w:rPr>
        <w:t xml:space="preserve">Grievance Redressal Mechanism: </w:t>
      </w:r>
      <w:r>
        <w:rPr>
          <w:rtl w:val="0"/>
          <w:lang w:val="en-US"/>
        </w:rPr>
        <w:t>A fast-track grievance mechanism shall be established to enable individuals to report undisclosed synthetic video content, seek rapid takedown or restriction where content is harmful or non-consensual, and obtain timely information on the status and outcome of their complaints.</w:t>
      </w:r>
    </w:p>
    <w:p>
      <w:pPr>
        <w:pStyle w:val="Heading"/>
      </w:pPr>
      <w:r>
        <w:rPr>
          <w:outline w:val="0"/>
          <w:color w:val="003366"/>
          <w:u w:color="003366"/>
          <w:rtl w:val="0"/>
          <w:lang w:val="en-US"/>
          <w14:textFill>
            <w14:solidFill>
              <w14:srgbClr w14:val="003366"/>
            </w14:solidFill>
          </w14:textFill>
        </w:rPr>
        <w:t>9. Penalties and Compliance Mechanism</w:t>
      </w:r>
    </w:p>
    <w:p>
      <w:pPr>
        <w:pStyle w:val="Body"/>
        <w:jc w:val="both"/>
      </w:pPr>
      <w:r>
        <w:rPr>
          <w:rtl w:val="0"/>
          <w:lang w:val="en-US"/>
        </w:rPr>
        <w:t>A graduated system of penalties is recommended to ensure proportionate enforcement:</w:t>
      </w:r>
    </w:p>
    <w:p>
      <w:pPr>
        <w:pStyle w:val="Body"/>
        <w:jc w:val="both"/>
      </w:pPr>
      <w:r>
        <w:rPr>
          <w:b w:val="1"/>
          <w:bCs w:val="1"/>
          <w:rtl w:val="0"/>
          <w:lang w:val="en-US"/>
        </w:rPr>
        <w:t>First Instance Violation:</w:t>
      </w:r>
      <w:r>
        <w:rPr>
          <w:rtl w:val="0"/>
          <w:lang w:val="en-US"/>
        </w:rPr>
        <w:t xml:space="preserve"> Formal warning, mandatory corrective disclosure, or content removal within specified timeframe.</w:t>
      </w:r>
    </w:p>
    <w:p>
      <w:pPr>
        <w:pStyle w:val="Body"/>
        <w:jc w:val="both"/>
      </w:pPr>
      <w:r>
        <w:rPr>
          <w:b w:val="1"/>
          <w:bCs w:val="1"/>
          <w:rtl w:val="0"/>
          <w:lang w:val="en-US"/>
        </w:rPr>
        <w:t>Repeated Violations:</w:t>
      </w:r>
      <w:r>
        <w:rPr>
          <w:rtl w:val="0"/>
          <w:lang w:val="en-US"/>
        </w:rPr>
        <w:t xml:space="preserve"> Monetary fines calibrated to the severity and scale of non-compliance, temporary suspension of user accounts, or restrictions on content posting privileges.</w:t>
      </w:r>
    </w:p>
    <w:p>
      <w:pPr>
        <w:pStyle w:val="Body"/>
        <w:jc w:val="both"/>
      </w:pPr>
      <w:r>
        <w:rPr>
          <w:b w:val="1"/>
          <w:bCs w:val="1"/>
          <w:rtl w:val="0"/>
          <w:lang w:val="en-US"/>
        </w:rPr>
        <w:t>Malicious or Harmful Misuse:</w:t>
      </w:r>
      <w:r>
        <w:rPr>
          <w:rtl w:val="0"/>
          <w:lang w:val="en-US"/>
        </w:rPr>
        <w:t xml:space="preserve"> Criminal liability under existing cybercrime, information technology, and criminal statutes, potentially including significant fines and/or imprisonment depending on the nature and impact of the offense.</w:t>
      </w:r>
    </w:p>
    <w:p>
      <w:pPr>
        <w:pStyle w:val="Body"/>
        <w:jc w:val="both"/>
      </w:pPr>
      <w:r>
        <w:rPr>
          <w:b w:val="1"/>
          <w:bCs w:val="1"/>
          <w:rtl w:val="0"/>
          <w:lang w:val="it-IT"/>
        </w:rPr>
        <w:t>Platform Non-Compliance:</w:t>
      </w:r>
      <w:r>
        <w:rPr>
          <w:rtl w:val="0"/>
          <w:lang w:val="en-US"/>
        </w:rPr>
        <w:t xml:space="preserve"> Platforms exhibiting repeated or systematic non-compliance may be subject to enhanced regulatory scrutiny, escalating fines, operational restrictions, or other sanctions deemed appropriate by the regulating authority.</w:t>
      </w:r>
    </w:p>
    <w:p>
      <w:pPr>
        <w:pStyle w:val="Heading"/>
      </w:pPr>
      <w:r>
        <w:rPr>
          <w:outline w:val="0"/>
          <w:color w:val="003366"/>
          <w:u w:color="003366"/>
          <w:rtl w:val="0"/>
          <w:lang w:val="en-US"/>
          <w14:textFill>
            <w14:solidFill>
              <w14:srgbClr w14:val="003366"/>
            </w14:solidFill>
          </w14:textFill>
        </w:rPr>
        <w:t>10. Alignment with Existing Law</w:t>
      </w:r>
    </w:p>
    <w:p>
      <w:pPr>
        <w:pStyle w:val="Body"/>
        <w:jc w:val="both"/>
      </w:pPr>
      <w:r>
        <w:rPr>
          <w:rtl w:val="0"/>
          <w:lang w:val="en-US"/>
        </w:rPr>
        <w:t>This framework is designed to operate in harmony with and provide support to existing legislation governing:</w:t>
      </w:r>
    </w:p>
    <w:p>
      <w:pPr>
        <w:pStyle w:val="List Bullet"/>
        <w:numPr>
          <w:ilvl w:val="0"/>
          <w:numId w:val="2"/>
        </w:numPr>
      </w:pPr>
      <w:r>
        <w:rPr>
          <w:rtl w:val="0"/>
          <w:lang w:val="en-US"/>
        </w:rPr>
        <w:t>Information technology, intermediary liability, and online content regulation.</w:t>
      </w:r>
    </w:p>
    <w:p>
      <w:pPr>
        <w:pStyle w:val="List Bullet"/>
        <w:numPr>
          <w:ilvl w:val="0"/>
          <w:numId w:val="2"/>
        </w:numPr>
      </w:pPr>
      <w:r>
        <w:rPr>
          <w:rtl w:val="0"/>
          <w:lang w:val="en-US"/>
        </w:rPr>
        <w:t>Cybercrime, fraud, identity theft, and related offenses involving digital communication.</w:t>
      </w:r>
    </w:p>
    <w:p>
      <w:pPr>
        <w:pStyle w:val="List Bullet"/>
        <w:numPr>
          <w:ilvl w:val="0"/>
          <w:numId w:val="2"/>
        </w:numPr>
      </w:pPr>
      <w:r>
        <w:rPr>
          <w:rtl w:val="0"/>
          <w:lang w:val="en-US"/>
        </w:rPr>
        <w:t>Data protection, privacy rights, and personal information processing.</w:t>
      </w:r>
    </w:p>
    <w:p>
      <w:pPr>
        <w:pStyle w:val="List Bullet"/>
        <w:numPr>
          <w:ilvl w:val="0"/>
          <w:numId w:val="2"/>
        </w:numPr>
      </w:pPr>
      <w:r>
        <w:rPr>
          <w:rtl w:val="0"/>
          <w:lang w:val="en-US"/>
        </w:rPr>
        <w:t>Defamation, harassment, and reputation protection.</w:t>
      </w:r>
    </w:p>
    <w:p>
      <w:pPr>
        <w:pStyle w:val="List Bullet"/>
        <w:numPr>
          <w:ilvl w:val="0"/>
          <w:numId w:val="2"/>
        </w:numPr>
      </w:pPr>
      <w:r>
        <w:rPr>
          <w:rtl w:val="0"/>
          <w:lang w:val="en-US"/>
        </w:rPr>
        <w:t>Consumer protection and unfair trade practices.</w:t>
      </w:r>
    </w:p>
    <w:p>
      <w:pPr>
        <w:pStyle w:val="List Bullet"/>
        <w:numPr>
          <w:ilvl w:val="0"/>
          <w:numId w:val="2"/>
        </w:numPr>
      </w:pPr>
      <w:r>
        <w:rPr>
          <w:rtl w:val="0"/>
          <w:lang w:val="en-US"/>
        </w:rPr>
        <w:t>Electoral law and campaign finance regulation.</w:t>
      </w:r>
    </w:p>
    <w:p>
      <w:pPr>
        <w:pStyle w:val="List Bullet"/>
        <w:numPr>
          <w:ilvl w:val="0"/>
          <w:numId w:val="2"/>
        </w:numPr>
      </w:pPr>
      <w:r>
        <w:rPr>
          <w:rtl w:val="0"/>
          <w:lang w:val="en-US"/>
        </w:rPr>
        <w:t>Intellectual property rights and licensing.</w:t>
      </w:r>
    </w:p>
    <w:p>
      <w:pPr>
        <w:pStyle w:val="Body"/>
        <w:jc w:val="both"/>
      </w:pPr>
      <w:r>
        <w:rPr>
          <w:rtl w:val="0"/>
          <w:lang w:val="en-US"/>
        </w:rPr>
        <w:t>Where conflicts or gaps arise, this framework should be interpreted in a manner that maximizes protection of individual rights while maintaining consistency with constitutional principles and international human rights obligations.</w:t>
      </w:r>
    </w:p>
    <w:p>
      <w:pPr>
        <w:pStyle w:val="Heading"/>
      </w:pPr>
      <w:r>
        <w:rPr>
          <w:outline w:val="0"/>
          <w:color w:val="003366"/>
          <w:u w:color="003366"/>
          <w:rtl w:val="0"/>
          <w:lang w:val="en-US"/>
          <w14:textFill>
            <w14:solidFill>
              <w14:srgbClr w14:val="003366"/>
            </w14:solidFill>
          </w14:textFill>
        </w:rPr>
        <w:t>11. Governance, Monitoring, and Periodic Review</w:t>
      </w:r>
    </w:p>
    <w:p>
      <w:pPr>
        <w:pStyle w:val="Body"/>
        <w:jc w:val="both"/>
      </w:pPr>
      <w:r>
        <w:rPr>
          <w:rtl w:val="0"/>
          <w:lang w:val="en-US"/>
        </w:rPr>
        <w:t>To ensure effective implementation and adaptive governance, a multi-stakeholder oversight body should be constituted, comprising representatives from:</w:t>
      </w:r>
    </w:p>
    <w:p>
      <w:pPr>
        <w:pStyle w:val="List Bullet"/>
        <w:numPr>
          <w:ilvl w:val="0"/>
          <w:numId w:val="2"/>
        </w:numPr>
      </w:pPr>
      <w:r>
        <w:rPr>
          <w:rtl w:val="0"/>
          <w:lang w:val="en-US"/>
        </w:rPr>
        <w:t>Youth representatives and civil society organizations focused on digital rights and media literacy.</w:t>
      </w:r>
    </w:p>
    <w:p>
      <w:pPr>
        <w:pStyle w:val="List Bullet"/>
        <w:numPr>
          <w:ilvl w:val="0"/>
          <w:numId w:val="2"/>
        </w:numPr>
      </w:pPr>
      <w:r>
        <w:rPr>
          <w:rtl w:val="0"/>
          <w:lang w:val="en-US"/>
        </w:rPr>
        <w:t>Computer scientists, AI researchers, and technology experts.</w:t>
      </w:r>
    </w:p>
    <w:p>
      <w:pPr>
        <w:pStyle w:val="List Bullet"/>
        <w:numPr>
          <w:ilvl w:val="0"/>
          <w:numId w:val="2"/>
        </w:numPr>
      </w:pPr>
      <w:r>
        <w:rPr>
          <w:rtl w:val="0"/>
          <w:lang w:val="en-US"/>
        </w:rPr>
        <w:t>Legal scholars, ethicists, and human rights advocates.</w:t>
      </w:r>
    </w:p>
    <w:p>
      <w:pPr>
        <w:pStyle w:val="List Bullet"/>
        <w:numPr>
          <w:ilvl w:val="0"/>
          <w:numId w:val="2"/>
        </w:numPr>
      </w:pPr>
      <w:r>
        <w:rPr>
          <w:rtl w:val="0"/>
          <w:lang w:val="en-US"/>
        </w:rPr>
        <w:t>Media professionals, journalists, and fact-checking organizations.</w:t>
      </w:r>
    </w:p>
    <w:p>
      <w:pPr>
        <w:pStyle w:val="List Bullet"/>
        <w:numPr>
          <w:ilvl w:val="0"/>
          <w:numId w:val="2"/>
        </w:numPr>
      </w:pPr>
      <w:r>
        <w:rPr>
          <w:rtl w:val="0"/>
          <w:lang w:val="en-US"/>
        </w:rPr>
        <w:t>Platform representatives and technology industry associations.</w:t>
      </w:r>
    </w:p>
    <w:p>
      <w:pPr>
        <w:pStyle w:val="List Bullet"/>
        <w:numPr>
          <w:ilvl w:val="0"/>
          <w:numId w:val="2"/>
        </w:numPr>
      </w:pPr>
      <w:r>
        <w:rPr>
          <w:rtl w:val="0"/>
          <w:lang w:val="en-US"/>
        </w:rPr>
        <w:t>Government officials from relevant regulatory and law enforcement agencies.</w:t>
      </w:r>
    </w:p>
    <w:p>
      <w:pPr>
        <w:pStyle w:val="Body"/>
        <w:jc w:val="both"/>
      </w:pPr>
      <w:r>
        <w:rPr>
          <w:b w:val="1"/>
          <w:bCs w:val="1"/>
          <w:rtl w:val="0"/>
          <w:lang w:val="en-US"/>
        </w:rPr>
        <w:t xml:space="preserve">Periodic Review: </w:t>
      </w:r>
      <w:r>
        <w:rPr>
          <w:rtl w:val="0"/>
          <w:lang w:val="en-US"/>
        </w:rPr>
        <w:t>This framework should be reviewed and updated at regular intervals (recommended: every 18-24 months) to account for technological advancements, evolving threat landscapes, emerging best practices, and feedback from implementation experience. The oversight body should publish annual reports assessing the framework's effectiveness and recommending improvements.</w:t>
      </w:r>
    </w:p>
    <w:p>
      <w:pPr>
        <w:pStyle w:val="Body"/>
      </w:pPr>
      <w:r>
        <w:rPr>
          <w:rFonts w:ascii="Arial Unicode MS" w:cs="Arial Unicode MS" w:hAnsi="Arial Unicode MS" w:eastAsia="Arial Unicode MS"/>
          <w:b w:val="0"/>
          <w:bCs w:val="0"/>
          <w:i w:val="0"/>
          <w:iCs w:val="0"/>
        </w:rPr>
        <w:br w:type="page"/>
      </w:r>
    </w:p>
    <w:p>
      <w:pPr>
        <w:pStyle w:val="Heading"/>
      </w:pPr>
      <w:r>
        <w:rPr>
          <w:outline w:val="0"/>
          <w:color w:val="003366"/>
          <w:u w:color="003366"/>
          <w:rtl w:val="0"/>
          <w:lang w:val="it-IT"/>
          <w14:textFill>
            <w14:solidFill>
              <w14:srgbClr w14:val="003366"/>
            </w14:solidFill>
          </w14:textFill>
        </w:rPr>
        <w:t>12. Conclusion</w:t>
      </w:r>
    </w:p>
    <w:p>
      <w:pPr>
        <w:pStyle w:val="Body"/>
        <w:jc w:val="both"/>
      </w:pPr>
      <w:r>
        <w:rPr>
          <w:rtl w:val="0"/>
          <w:lang w:val="en-US"/>
        </w:rPr>
        <w:t>AI-powered video technologies are fundamentally reshaping how societies create, share, interpret, and consume information. The benefits of these technologies are substantial and include enhanced creative expression, improved accessibility, educational innovation, and new forms of entertainment. However, their misuse</w:t>
      </w:r>
      <w:r>
        <w:rPr>
          <w:rtl w:val="0"/>
          <w:lang w:val="en-US"/>
        </w:rPr>
        <w:t>—</w:t>
      </w:r>
      <w:r>
        <w:rPr>
          <w:rtl w:val="0"/>
          <w:lang w:val="en-US"/>
        </w:rPr>
        <w:t>particularly when synthetic content circulates without clear disclosure</w:t>
      </w:r>
      <w:r>
        <w:rPr>
          <w:rtl w:val="0"/>
          <w:lang w:val="en-US"/>
        </w:rPr>
        <w:t>—</w:t>
      </w:r>
      <w:r>
        <w:rPr>
          <w:rtl w:val="0"/>
          <w:lang w:val="en-US"/>
        </w:rPr>
        <w:t>poses significant risks to individual reputations, institutional credibility, democratic processes, and social cohesion.</w:t>
      </w:r>
    </w:p>
    <w:p>
      <w:pPr>
        <w:pStyle w:val="Body"/>
        <w:jc w:val="both"/>
      </w:pPr>
      <w:r>
        <w:rPr>
          <w:rtl w:val="0"/>
          <w:lang w:val="en-US"/>
        </w:rPr>
        <w:t>By establishing mandatory disclosure as a baseline expectation and clarifying the respective roles and responsibilities of content creators, digital platforms, AI developers, and regulatory authorities, this framework seeks to restore and maintain trust in digital media ecosystems while preserving space for continued innovation and beneficial applications of AI technology.</w:t>
      </w:r>
    </w:p>
    <w:p>
      <w:pPr>
        <w:pStyle w:val="Body"/>
        <w:jc w:val="both"/>
      </w:pPr>
      <w:r>
        <w:rPr>
          <w:rtl w:val="0"/>
          <w:lang w:val="en-US"/>
        </w:rPr>
        <w:t>The Student Global Summit respectfully submits this Draft Regulatory Framework for consideration by policymakers, regulatory authorities, and other stakeholders. We stand ready to support further consultation, refinement, stakeholder engagement, and practical implementation of these proposals.</w:t>
      </w:r>
    </w:p>
    <w:p>
      <w:pPr>
        <w:pStyle w:val="Body"/>
        <w:jc w:val="both"/>
      </w:pPr>
      <w:r>
        <w:rPr>
          <w:b w:val="1"/>
          <w:bCs w:val="1"/>
          <w:outline w:val="0"/>
          <w:color w:val="003366"/>
          <w:u w:color="003366"/>
          <w:rtl w:val="0"/>
          <w:lang w:val="en-US"/>
          <w14:textFill>
            <w14:solidFill>
              <w14:srgbClr w14:val="003366"/>
            </w14:solidFill>
          </w14:textFill>
        </w:rPr>
        <w:t>Together, we can build a digital environment where innovation thrives, truth is protected, and human dignity is upheld.</w:t>
      </w:r>
    </w:p>
    <w:p>
      <w:pPr>
        <w:pStyle w:val="Body"/>
      </w:pPr>
    </w:p>
    <w:p>
      <w:pPr>
        <w:pStyle w:val="Body"/>
      </w:pPr>
    </w:p>
    <w:p>
      <w:pPr>
        <w:pStyle w:val="Body"/>
        <w:jc w:val="center"/>
      </w:pPr>
      <w:r>
        <w:rPr>
          <w:i w:val="1"/>
          <w:iCs w:val="1"/>
          <w:outline w:val="0"/>
          <w:color w:val="808080"/>
          <w:sz w:val="20"/>
          <w:szCs w:val="20"/>
          <w:u w:color="808080"/>
          <w:rtl w:val="0"/>
          <w:lang w:val="en-US"/>
          <w14:textFill>
            <w14:solidFill>
              <w14:srgbClr w14:val="808080"/>
            </w14:solidFill>
          </w14:textFill>
        </w:rPr>
        <w:t>—</w:t>
      </w:r>
      <w:r>
        <w:rPr>
          <w:i w:val="1"/>
          <w:iCs w:val="1"/>
          <w:outline w:val="0"/>
          <w:color w:val="808080"/>
          <w:sz w:val="20"/>
          <w:szCs w:val="20"/>
          <w:u w:color="808080"/>
          <w:rtl w:val="0"/>
          <w:lang w:val="en-US"/>
          <w14:textFill>
            <w14:solidFill>
              <w14:srgbClr w14:val="808080"/>
            </w14:solidFill>
          </w14:textFill>
        </w:rPr>
        <w:t>END OF DOCUMENT</w:t>
      </w:r>
      <w:r>
        <w:rPr>
          <w:i w:val="1"/>
          <w:iCs w:val="1"/>
          <w:outline w:val="0"/>
          <w:color w:val="808080"/>
          <w:sz w:val="20"/>
          <w:szCs w:val="20"/>
          <w:u w:color="808080"/>
          <w:rtl w:val="0"/>
          <w:lang w:val="en-US"/>
          <w14:textFill>
            <w14:solidFill>
              <w14:srgbClr w14:val="808080"/>
            </w14:solidFill>
          </w14:textFill>
        </w:rPr>
        <w:t>—</w:t>
      </w:r>
    </w:p>
    <w:sectPr>
      <w:headerReference w:type="default" r:id="rId5"/>
      <w:footerReference w:type="default" r:id="rId6"/>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