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C4792" w14:textId="7777777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SWOT Analysis Report: Intuitive Surgical, Inc. (ISRG)</w:t>
      </w:r>
    </w:p>
    <w:p w14:paraId="7882AC9D" w14:textId="7777777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Comprehensive review of financial and strategic factors</w:t>
      </w:r>
    </w:p>
    <w:p w14:paraId="4824F78C" w14:textId="7777777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</w:p>
    <w:p w14:paraId="4D39A115" w14:textId="7777777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Quantitative Aspects</w:t>
      </w:r>
    </w:p>
    <w:p w14:paraId="36E579B2" w14:textId="7777777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Strengths</w:t>
      </w:r>
    </w:p>
    <w:p w14:paraId="22429124" w14:textId="430EBA2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Strong Profitability: Net profit margin (TTM) of 28.41% and operating margin of 28.2% reflect solid operational efficiency.</w:t>
      </w:r>
    </w:p>
    <w:p w14:paraId="5C841403" w14:textId="4D24D835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Healthy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Liquidity: A current ratio of 4.98 and quick ratio of 3.81 indicate excellent short-term financial health.</w:t>
      </w:r>
    </w:p>
    <w:p w14:paraId="7DBBA9FD" w14:textId="749607DB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lastRenderedPageBreak/>
        <w:t xml:space="preserve">•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Debt-Free Balance Sheet: The company maintains zero long-term debt, enhancing financial flexibility.</w:t>
      </w:r>
    </w:p>
    <w:p w14:paraId="6446B5DA" w14:textId="4A1CA101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Consistent Revenue Growth: Achieved a 5-year revenue CAGR of 13.27%, with a recent YoY growth of 19.08%.</w:t>
      </w:r>
    </w:p>
    <w:p w14:paraId="07BB5C4B" w14:textId="7777777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</w:p>
    <w:p w14:paraId="39D05288" w14:textId="7777777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High Return on Equity: ROE stands at 15.49%, signaling strong value generation for shareholders.</w:t>
      </w:r>
    </w:p>
    <w:p w14:paraId="4480ADFF" w14:textId="51780ACB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Strong Cash Reserves: Over $12 per share in cash, supporting R&amp;D, acquisitions, and innovation investment.</w:t>
      </w:r>
    </w:p>
    <w:p w14:paraId="179FF7A4" w14:textId="7777777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Weaknesses</w:t>
      </w:r>
    </w:p>
    <w:p w14:paraId="6FC41CFF" w14:textId="714E2796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lastRenderedPageBreak/>
        <w:t xml:space="preserve">•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Premium Valuation: With a P/E ratio of 74.13 (TTM) and P/B of 10.73, shares may be priced above intrinsic value.</w:t>
      </w:r>
    </w:p>
    <w:p w14:paraId="01D6C1DC" w14:textId="7B2F27ED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Declining Inventory Efficiency: Inventory turnover has slowed, suggesting potential product or supply chain inefficiencies.</w:t>
      </w:r>
    </w:p>
    <w:p w14:paraId="3FB6DCA7" w14:textId="4E2425AF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Low Asset Utilization: Asset turnover of 0.45 indicates modest efficiency in using assets to generate sales.</w:t>
      </w:r>
    </w:p>
    <w:p w14:paraId="653BBAD2" w14:textId="7777777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Opportunities</w:t>
      </w:r>
    </w:p>
    <w:p w14:paraId="6DD87ABF" w14:textId="6BEC2FFE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Surgical Robotics Demand: Global increase in demand for minimally invasive surgeries boosts growth potential for the da Vinci system.</w:t>
      </w:r>
    </w:p>
    <w:p w14:paraId="3A6807C0" w14:textId="3C9D379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lastRenderedPageBreak/>
        <w:t xml:space="preserve">•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Emerging Market Expansion: Greater penetration in countries like India, China, and Japan can drive incremental revenues.</w:t>
      </w:r>
    </w:p>
    <w:p w14:paraId="053C7C7E" w14:textId="6A2142A4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Strong R&amp;D Capacity: High operating margins and solid cash flows support continuous innovation and adjacent technology development.</w:t>
      </w:r>
    </w:p>
    <w:p w14:paraId="6EC239E4" w14:textId="278BF098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AI-Enhanced Products: Integration of AI and data analytics into surgical tools and decision systems could unlock new growth avenues.</w:t>
      </w:r>
    </w:p>
    <w:p w14:paraId="2C33E008" w14:textId="7777777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Threats</w:t>
      </w:r>
    </w:p>
    <w:p w14:paraId="24F03B07" w14:textId="2B94998A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High Market Volatility: A beta of 1.63 reflects sensitivity to broader market fluctuations.</w:t>
      </w:r>
    </w:p>
    <w:p w14:paraId="5E1DBD6E" w14:textId="02AC9DE9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lastRenderedPageBreak/>
        <w:t xml:space="preserve">•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Competitive Pressure: New players and established med-tech firms entering the robotic surgery space may erode market share.</w:t>
      </w:r>
    </w:p>
    <w:p w14:paraId="2F78ABEF" w14:textId="39CC1BBB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Regulatory Uncertainty: FDA or international policy changes may delay product launches or increase compliance costs.</w:t>
      </w:r>
    </w:p>
    <w:p w14:paraId="25891661" w14:textId="3D09393C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Economic Sensitivity: High capital costs may reduce demand during recessions or hospital budget constraints.</w:t>
      </w:r>
    </w:p>
    <w:p w14:paraId="172C5E62" w14:textId="7777777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</w:p>
    <w:p w14:paraId="1C2D9299" w14:textId="7777777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Qualitative Aspects</w:t>
      </w:r>
    </w:p>
    <w:p w14:paraId="1B5DA584" w14:textId="7777777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Strengths</w:t>
      </w:r>
    </w:p>
    <w:p w14:paraId="048052BF" w14:textId="37C328F1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lastRenderedPageBreak/>
        <w:t xml:space="preserve">• </w:t>
      </w:r>
      <w:r w:rsidR="004A6C4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Market Leadership: ISRG leads the robotic-assisted surgery market with its flagship da Vinci Surgical Systems, trusted worldwide.</w:t>
      </w:r>
    </w:p>
    <w:p w14:paraId="0E849D83" w14:textId="75B68C78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 w:rsidR="004A6C4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Integrated Digital Ecosystem: Combines hardware, software, imaging, analytics, and training, creating high switching costs for hospitals.</w:t>
      </w:r>
    </w:p>
    <w:p w14:paraId="350CB17C" w14:textId="35AECFA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 w:rsidR="004A6C4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Strong Financial Backbone: Generated over $7.1B in 2023 revenue with a ~25% operating margin and $7.34B in cash reserves.</w:t>
      </w:r>
    </w:p>
    <w:p w14:paraId="330AD6BA" w14:textId="39E35A2E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 w:rsidR="004A6C4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Continuous Innovation: Invests ~14% of revenue in R&amp;D; recent launches include E-200 Generator and </w:t>
      </w:r>
      <w:proofErr w:type="spellStart"/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SureForm</w:t>
      </w:r>
      <w:proofErr w:type="spellEnd"/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30 Curved-Tip Stapler.</w:t>
      </w:r>
    </w:p>
    <w:p w14:paraId="3F8DA375" w14:textId="5139711F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lastRenderedPageBreak/>
        <w:t xml:space="preserve">• </w:t>
      </w:r>
      <w:r w:rsidR="004A6C4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Global Presence: Operations in 69+ countries, with both direct sales and distributor channels.</w:t>
      </w:r>
    </w:p>
    <w:p w14:paraId="37C49DD7" w14:textId="7777777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Weaknesses</w:t>
      </w:r>
    </w:p>
    <w:p w14:paraId="3D8FBC68" w14:textId="05AD200E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 w:rsidR="004A6C4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High System Costs: Capital-intensive pricing of da Vinci systems may limit adoption in budget-constrained healthcare settings.</w:t>
      </w:r>
    </w:p>
    <w:p w14:paraId="663A61AE" w14:textId="45CBF3D5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 w:rsidR="004A6C4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Revenue Dependence on Procedures: Lower hospital volumes or competing treatments can impact revenue stability.</w:t>
      </w:r>
    </w:p>
    <w:p w14:paraId="7E328B1A" w14:textId="4B0B9E6E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 w:rsidR="004A6C4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Product Concentration Risk: Heavy reliance on the da Vinci platform poses a risk in case of disruption or substitution.</w:t>
      </w:r>
    </w:p>
    <w:p w14:paraId="740F7102" w14:textId="7777777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lastRenderedPageBreak/>
        <w:t>Opportunities</w:t>
      </w:r>
    </w:p>
    <w:p w14:paraId="3C75613F" w14:textId="32F1253B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 w:rsidR="004A6C4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Geographic Expansion: Regulatory approvals and local strategies in Asia offer long-term international growth.</w:t>
      </w:r>
    </w:p>
    <w:p w14:paraId="3E157DFF" w14:textId="49B54DD4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 w:rsidR="004A6C4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Broader Surgical Applications: Growth in procedures like bariatrics, urology, and thoracic surgery expands addressable market.</w:t>
      </w:r>
    </w:p>
    <w:p w14:paraId="705C4D2E" w14:textId="48E39D62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 w:rsidR="004A6C4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AI &amp; Data Integration: Real-time surgical assistance, training, and diagnostics using machine learning can enhance product value.</w:t>
      </w:r>
    </w:p>
    <w:p w14:paraId="329C4DE6" w14:textId="715EDE61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 w:rsidR="004A6C4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Aging Population &amp; MIS Trends: Global demographic shifts favor minimally invasive surgical solutions.</w:t>
      </w:r>
    </w:p>
    <w:p w14:paraId="31653856" w14:textId="77777777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Threats</w:t>
      </w:r>
    </w:p>
    <w:p w14:paraId="1059D787" w14:textId="35E8C110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lastRenderedPageBreak/>
        <w:t xml:space="preserve">• </w:t>
      </w:r>
      <w:r w:rsidR="004A6C4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Competitive Landscape: Threats from firms like Medtronic, J&amp;J, CMR Surgical, and </w:t>
      </w:r>
      <w:proofErr w:type="spellStart"/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MicroPort</w:t>
      </w:r>
      <w:proofErr w:type="spellEnd"/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with comparable offerings.</w:t>
      </w:r>
    </w:p>
    <w:p w14:paraId="6EA9EE39" w14:textId="5AF033BA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 w:rsidR="004A6C4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Regulatory &amp; Legal Risks: Vulnerable to regulatory delays and intellectual property litigation.</w:t>
      </w:r>
    </w:p>
    <w:p w14:paraId="0F1976F7" w14:textId="520C3ABB" w:rsidR="00AD4ED3" w:rsidRPr="00AD4ED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 w:rsidR="004A6C4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Macroeconomic Challenges: Inflation, supply chain issues, and public healthcare spending cuts can dampen equipment sales.</w:t>
      </w:r>
    </w:p>
    <w:p w14:paraId="085C45BB" w14:textId="45BC45BE" w:rsidR="008C2B51" w:rsidRPr="004A6C43" w:rsidRDefault="00AD4ED3" w:rsidP="00AD4ED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• </w:t>
      </w:r>
      <w:r w:rsidR="004A6C4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AD4ED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Policy Constraints: Global shifts in healthcare pricing models and coverage could affect adoption rates.</w:t>
      </w:r>
    </w:p>
    <w:sectPr w:rsidR="008C2B51" w:rsidRPr="004A6C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024F3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942835">
    <w:abstractNumId w:val="8"/>
  </w:num>
  <w:num w:numId="2" w16cid:durableId="1100948461">
    <w:abstractNumId w:val="6"/>
  </w:num>
  <w:num w:numId="3" w16cid:durableId="731544960">
    <w:abstractNumId w:val="5"/>
  </w:num>
  <w:num w:numId="4" w16cid:durableId="1634410527">
    <w:abstractNumId w:val="4"/>
  </w:num>
  <w:num w:numId="5" w16cid:durableId="1007443689">
    <w:abstractNumId w:val="7"/>
  </w:num>
  <w:num w:numId="6" w16cid:durableId="434908613">
    <w:abstractNumId w:val="3"/>
  </w:num>
  <w:num w:numId="7" w16cid:durableId="1629122689">
    <w:abstractNumId w:val="2"/>
  </w:num>
  <w:num w:numId="8" w16cid:durableId="552161508">
    <w:abstractNumId w:val="1"/>
  </w:num>
  <w:num w:numId="9" w16cid:durableId="169372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C43"/>
    <w:rsid w:val="006D0FF5"/>
    <w:rsid w:val="00797F84"/>
    <w:rsid w:val="008447CB"/>
    <w:rsid w:val="008C2B51"/>
    <w:rsid w:val="00AA1D8D"/>
    <w:rsid w:val="00AD4ED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788644"/>
  <w14:defaultImageDpi w14:val="300"/>
  <w15:docId w15:val="{000751E2-EE86-432D-B222-8CAB7CB2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553</Words>
  <Characters>3628</Characters>
  <Application>Microsoft Office Word</Application>
  <DocSecurity>0</DocSecurity>
  <Lines>145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Duhan, Aditya</cp:lastModifiedBy>
  <cp:revision>4</cp:revision>
  <dcterms:created xsi:type="dcterms:W3CDTF">2013-12-23T23:15:00Z</dcterms:created>
  <dcterms:modified xsi:type="dcterms:W3CDTF">2025-06-29T03:04:00Z</dcterms:modified>
  <cp:category/>
</cp:coreProperties>
</file>