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Technical Approach Content</w:t>
      </w:r>
    </w:p>
    <w:p>
      <w:pPr>
        <w:keepNext/>
        <w:spacing w:after="200"/>
      </w:pPr>
      <w:r>
        <w:rPr>
          <w:rFonts w:ascii="Arial" w:hAnsi="Arial"/>
          <w:color w:val="000000"/>
          <w:sz w:val="23"/>
        </w:rPr>
        <w:t>The implementation follows a deterministic sense predict assess plan control loop. MATLAB modules exchange explicit structures for detections, tracks, predictions, occupancy, governor decisions, paths, controls, and evaluation records.</w:t>
      </w:r>
    </w:p>
    <w:p>
      <w:pPr>
        <w:spacing w:after="240"/>
      </w:pPr>
      <w:r>
        <w:rPr>
          <w:rFonts w:ascii="Arial" w:hAnsi="Arial"/>
          <w:b/>
          <w:color w:val="595959"/>
          <w:sz w:val="19"/>
        </w:rPr>
        <w:t>Project SIH26037   Smart India Hackathon 2026   Repository status 6 September 2026</w:t>
      </w:r>
    </w:p>
    <w:p>
      <w:pPr>
        <w:pStyle w:val="Heading1"/>
      </w:pPr>
      <w:r>
        <w:t>Slide Ready Content</w:t>
      </w:r>
    </w:p>
    <w:p>
      <w:pPr>
        <w:pStyle w:val="ListBullet"/>
      </w:pPr>
      <w:r>
        <w:t>MATLAB with Automated Driving Toolbox, Navigation Toolbox, and Sensor Fusion and Tracking Toolbox functions. RoadRunner and YOLOX are optional guarded branches.</w:t>
      </w:r>
    </w:p>
    <w:p>
      <w:pPr>
        <w:pStyle w:val="ListBullet"/>
      </w:pPr>
      <w:r>
        <w:t>Controlled noisy perception feeds class conditioned Kalman tracking and 1.5 second covariance aware prediction.</w:t>
      </w:r>
    </w:p>
    <w:p>
      <w:pPr>
        <w:pStyle w:val="ListBullet"/>
      </w:pPr>
      <w:r>
        <w:t>Physical footprints plus two sigma uncertainty ellipses form a dynamic occupancy union at 0.25 metre cell size.</w:t>
      </w:r>
    </w:p>
    <w:p>
      <w:pPr>
        <w:pStyle w:val="ListBullet"/>
      </w:pPr>
      <w:r>
        <w:t>ACARG computes actor risk from confidence, uncertainty, distance, predicted collision geometry, and class priority, then applies hysteresis based driving states.</w:t>
      </w:r>
    </w:p>
    <w:p>
      <w:pPr>
        <w:pStyle w:val="ListBullet"/>
      </w:pPr>
      <w:r>
        <w:t>A forward Hybrid A Star planner, path validator, Pure Pursuit controller, and kinematic bicycle model form the closed loop.</w:t>
      </w:r>
    </w:p>
    <w:p>
      <w:pPr>
        <w:pStyle w:val="ListBullet"/>
      </w:pPr>
      <w:r>
        <w:t>Testing covers units, closed loop behavior, five main scenarios, eight robustness disturbances, baseline comparison, ablation, RoadRunner interfaces, IDD contracts, and video fidelity.</w:t>
      </w:r>
    </w:p>
    <w:p>
      <w:pPr>
        <w:pStyle w:val="Heading1"/>
      </w:pPr>
      <w:r>
        <w:t>Technology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23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Technology</w:t>
            </w:r>
          </w:p>
        </w:tc>
        <w:tc>
          <w:tcPr>
            <w:tcW w:type="dxa" w:w="468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Use in the Project</w:t>
            </w:r>
          </w:p>
        </w:tc>
        <w:tc>
          <w:tcPr>
            <w:tcW w:type="dxa" w:w="288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Execution Status</w:t>
            </w:r>
          </w:p>
        </w:tc>
      </w:tr>
      <w:tr>
        <w:trPr>
          <w:cantSplit w:val="true"/>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MATLAB R2026a</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Core implementation, simulation orchestration, evaluation, figures, and video export.</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Executed on Apple silicon macOS.</w:t>
            </w:r>
          </w:p>
        </w:tc>
      </w:tr>
      <w:tr>
        <w:trPr>
          <w:cantSplit w:val="true"/>
        </w:trPr>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Automated Driving Toolbox</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Driving scenario construction, actors, roads, and scenario stepping.</w:t>
            </w:r>
          </w:p>
        </w:tc>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Used in the completed simulation stack.</w:t>
            </w:r>
          </w:p>
        </w:tc>
      </w:tr>
      <w:tr>
        <w:trPr>
          <w:cantSplit w:val="true"/>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Navigation Toolbox</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Binary occupancy maps, SE2 state space, occupancy validator, and plannerHybridAStar.</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Used in planning and collision validation.</w:t>
            </w:r>
          </w:p>
        </w:tc>
      </w:tr>
      <w:tr>
        <w:trPr>
          <w:cantSplit w:val="true"/>
        </w:trPr>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Sensor Fusion and Tracking Toolbox</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trackingKF when its installed API is available. A local constant velocity Kalman fallback preserves portability.</w:t>
            </w:r>
          </w:p>
        </w:tc>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Tracking behavior tested with the shared public track structure.</w:t>
            </w:r>
          </w:p>
        </w:tc>
      </w:tr>
      <w:tr>
        <w:trPr>
          <w:cantSplit w:val="true"/>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MATLAB graphics and VideoWriter</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Judge facing diagnostic views, MP4 export, screenshots, and encoded frame validation.</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Thirteen final MP4 files validated.</w:t>
            </w:r>
          </w:p>
        </w:tc>
      </w:tr>
      <w:tr>
        <w:trPr>
          <w:cantSplit w:val="true"/>
        </w:trPr>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Scenario</w:t>
            </w:r>
          </w:p>
        </w:tc>
        <w:tc>
          <w:tcPr>
            <w:tcW w:type="dxa" w:w="46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Optional scene host and actor state exchange through a canonical coordinate adapter.</w:t>
            </w:r>
          </w:p>
        </w:tc>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Static architecture tested. Runtime pending on supported Windows or Linux.</w:t>
            </w:r>
          </w:p>
        </w:tc>
      </w:tr>
      <w:tr>
        <w:trPr>
          <w:cantSplit w:val="true"/>
        </w:trPr>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Computer Vision and Deep Learning Toolboxes</w:t>
            </w:r>
          </w:p>
        </w:tc>
        <w:tc>
          <w:tcPr>
            <w:tcW w:type="dxa" w:w="46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Separate opt in IDD Detection and YOLOX preparation branch.</w:t>
            </w:r>
          </w:p>
        </w:tc>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Toolboxes present. YOLOX add on, dataset, GPU training, and results pending.</w:t>
            </w:r>
          </w:p>
        </w:tc>
      </w:tr>
    </w:tbl>
    <w:p>
      <w:pPr>
        <w:spacing w:after="40"/>
      </w:pPr>
    </w:p>
    <w:p>
      <w:pPr>
        <w:pStyle w:val="Heading1"/>
      </w:pPr>
      <w:r>
        <w:t>End to End Processing Flow</w:t>
      </w:r>
    </w:p>
    <w:p>
      <w:pPr>
        <w:pStyle w:val="ListNumber"/>
      </w:pPr>
      <w:r>
        <w:t>Load the central configuration and scenario definition. Initialize the ego vehicle, road users, goal pose, random seed, controller limits, planner settings, and governor thresholds.</w:t>
      </w:r>
    </w:p>
    <w:p>
      <w:pPr>
        <w:pStyle w:val="ListNumber"/>
      </w:pPr>
      <w:r>
        <w:t>Advance scenario actors and obtain metric actor truth for the current simulation step.</w:t>
      </w:r>
    </w:p>
    <w:p>
      <w:pPr>
        <w:pStyle w:val="ListNumber"/>
      </w:pPr>
      <w:r>
        <w:t>Generate synthetic imperfect detections. Near range position noise begins at 0.25 metres standard deviation in x and y, velocity noise begins at 0.15 metres per second, missed detection probability is 0.05, and class confusion probability is 0.03. Uncertainty increases beyond 20 metres.</w:t>
      </w:r>
    </w:p>
    <w:p>
      <w:pPr>
        <w:pStyle w:val="ListNumber"/>
      </w:pPr>
      <w:r>
        <w:t>Associate detections with persistent actor IDs. Predict and correct a two dimensional constant velocity Kalman state containing x position, y position, x velocity, and y velocity. Prediction only updates preserve tracks during misses.</w:t>
      </w:r>
    </w:p>
    <w:p>
      <w:pPr>
        <w:pStyle w:val="ListNumber"/>
      </w:pPr>
      <w:r>
        <w:t>Propagate every eligible track for 1.5 seconds at 0.1 second steps. Carry the full state covariance into every predicted sample.</w:t>
      </w:r>
    </w:p>
    <w:p>
      <w:pPr>
        <w:pStyle w:val="ListNumber"/>
      </w:pPr>
      <w:r>
        <w:t>Construct time indexed occupancy layers at 0.25 metre cell size. Each layer contains the actor physical footprint, base safety margin, and a two sigma ellipse derived from covariance. A conservative union marks any cell occupied during the horizon.</w:t>
      </w:r>
    </w:p>
    <w:p>
      <w:pPr>
        <w:pStyle w:val="ListNumber"/>
      </w:pPr>
      <w:r>
        <w:t>Run ACARG for every actor and aggregate the actor risks. Select the governor state through hysteresis, calculate actor envelope multipliers, set the speed response, and calculate replanning urgency.</w:t>
      </w:r>
    </w:p>
    <w:p>
      <w:pPr>
        <w:pStyle w:val="ListNumber"/>
      </w:pPr>
      <w:r>
        <w:t>Rebuild the conservative occupancy union using ACARG actor scales and the global state multiplier. Inflate the map again for the ego vehicle footprint before collision validation.</w:t>
      </w:r>
    </w:p>
    <w:p>
      <w:pPr>
        <w:pStyle w:val="ListNumber"/>
      </w:pPr>
      <w:r>
        <w:t>Invoke Hybrid A Star when no path exists, the path becomes unsafe, risk changes materially, the governor state changes, ACARG requests replanning, or the maximum replanning interval expires.</w:t>
      </w:r>
    </w:p>
    <w:p>
      <w:pPr>
        <w:pStyle w:val="ListNumber"/>
      </w:pPr>
      <w:r>
        <w:t>Validate the candidate path, apply Pure Pursuit steering with a 4 metre lookahead, limit steering and acceleration, update the kinematic bicycle model, check observed collision and goal conditions, log the frame, and continue at the 0.2 second control period.</w:t>
      </w:r>
    </w:p>
    <w:p>
      <w:pPr>
        <w:pStyle w:val="Heading1"/>
      </w:pPr>
      <w:r>
        <w:t>Tracking and Prediction</w:t>
      </w:r>
    </w:p>
    <w:p>
      <w:r>
        <w:rPr>
          <w:rFonts w:ascii="Arial" w:hAnsi="Arial"/>
          <w:i w:val="0"/>
          <w:color w:val="000000"/>
          <w:sz w:val="22"/>
        </w:rPr>
        <w:t>One tracker is retained for each actor ID. Measurement covariance comes from the detection uncertainty. Process noise and starting covariance vary by road user class so pedestrians, bicycles, and cattle can be modeled as less predictable than conventional vehicles.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52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Tracking Element</w:t>
            </w:r>
          </w:p>
        </w:tc>
        <w:tc>
          <w:tcPr>
            <w:tcW w:type="dxa" w:w="727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Implemented Logic</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State</w:t>
            </w:r>
          </w:p>
        </w:tc>
        <w:tc>
          <w:tcPr>
            <w:tcW w:type="dxa" w:w="72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Two dimensional position and velocity in metres and metres per second.</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Motion model</w:t>
            </w:r>
          </w:p>
        </w:tc>
        <w:tc>
          <w:tcPr>
            <w:tcW w:type="dxa" w:w="72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Constant velocity with covariance propagation at each prediction step.</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Measurement update</w:t>
            </w:r>
          </w:p>
        </w:tc>
        <w:tc>
          <w:tcPr>
            <w:tcW w:type="dxa" w:w="72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Kalman correction when a finite detected position is available.</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Missing measurement</w:t>
            </w:r>
          </w:p>
        </w:tc>
        <w:tc>
          <w:tcPr>
            <w:tcW w:type="dxa" w:w="72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Prediction only update, increased covariance, missed detection count, and confidence decay.</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Track confidence</w:t>
            </w:r>
          </w:p>
        </w:tc>
        <w:tc>
          <w:tcPr>
            <w:tcW w:type="dxa" w:w="72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Weighted measurement confidence and covariance quality after detection. Misses multiply prior confidence by 0.85 and covariance quality.</w:t>
            </w:r>
          </w:p>
        </w:tc>
      </w:tr>
      <w:tr>
        <w:trPr>
          <w:cantSplit w:val="true"/>
        </w:trPr>
        <w:tc>
          <w:tcPr>
            <w:tcW w:type="dxa" w:w="252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Prediction horizon</w:t>
            </w:r>
          </w:p>
        </w:tc>
        <w:tc>
          <w:tcPr>
            <w:tcW w:type="dxa" w:w="727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1.5 seconds with 0.1 second samples.</w:t>
            </w:r>
          </w:p>
        </w:tc>
      </w:tr>
      <w:tr>
        <w:trPr>
          <w:cantSplit w:val="true"/>
        </w:trPr>
        <w:tc>
          <w:tcPr>
            <w:tcW w:type="dxa" w:w="252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Eligibility</w:t>
            </w:r>
          </w:p>
        </w:tc>
        <w:tc>
          <w:tcPr>
            <w:tcW w:type="dxa" w:w="727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Tracks contribute to occupancy until the configured prediction without detection limit is exceeded.</w:t>
            </w:r>
          </w:p>
        </w:tc>
      </w:tr>
    </w:tbl>
    <w:p>
      <w:pPr>
        <w:spacing w:after="40"/>
      </w:pPr>
    </w:p>
    <w:p>
      <w:pPr>
        <w:pStyle w:val="Heading1"/>
      </w:pPr>
      <w:r>
        <w:t>Occupancy and Uncertainty</w:t>
      </w:r>
    </w:p>
    <w:p>
      <w:r>
        <w:rPr>
          <w:rFonts w:ascii="Arial" w:hAnsi="Arial"/>
          <w:i w:val="0"/>
          <w:color w:val="000000"/>
          <w:sz w:val="22"/>
        </w:rPr>
        <w:t>The occupancy layer represents risk for planning, not a calibrated collision probability. The map covers x from minus 10 to 120 metres and y from minus 25 to 25 metres at four cells per metre. Invalid covariance uses a conservative fallback variance.</w:t>
      </w:r>
    </w:p>
    <w:p>
      <w:pPr>
        <w:pStyle w:val="ListBullet"/>
      </w:pPr>
      <w:r>
        <w:t>Each actor begins with a class specific physical length, width, safety margin, and occupancy risk weight.</w:t>
      </w:r>
    </w:p>
    <w:p>
      <w:pPr>
        <w:pStyle w:val="ListBullet"/>
      </w:pPr>
      <w:r>
        <w:t>The covariance ellipse uses two standard deviations along its principal axes.</w:t>
      </w:r>
    </w:p>
    <w:p>
      <w:pPr>
        <w:pStyle w:val="ListBullet"/>
      </w:pPr>
      <w:r>
        <w:t>The project adds physical half dimensions and uncertainty axes to form a conservative ellipse.</w:t>
      </w:r>
    </w:p>
    <w:p>
      <w:pPr>
        <w:pStyle w:val="ListBullet"/>
      </w:pPr>
      <w:r>
        <w:t>Future layers decay modestly with time. Forward actors receive a larger spatial multiplier than actors behind the ego vehicle.</w:t>
      </w:r>
    </w:p>
    <w:p>
      <w:pPr>
        <w:pStyle w:val="ListBullet"/>
      </w:pPr>
      <w:r>
        <w:t>The planner consumes the conservative union of all future occupied cells, while the diagnostic view shows the current envelope separately.</w:t>
      </w:r>
    </w:p>
    <w:p>
      <w:pPr>
        <w:pStyle w:val="Heading1"/>
      </w:pPr>
      <w:r>
        <w:t>ACARG Risk Model</w:t>
      </w:r>
    </w:p>
    <w:p>
      <w:r>
        <w:rPr>
          <w:rFonts w:ascii="Arial" w:hAnsi="Arial"/>
          <w:i w:val="0"/>
          <w:color w:val="000000"/>
          <w:sz w:val="22"/>
        </w:rPr>
        <w:t>The raw actor score assigns 25 percent to uncertainty, 25 percent to inverse confidence, 20 percent to distance risk, and 30 percent to predicted collision risk. The code multiplies the weighted score by a normalized actor class weight and clamps the result between zero and one.</w:t>
      </w:r>
    </w:p>
    <w:p>
      <w:r>
        <w:rPr>
          <w:rFonts w:ascii="Arial" w:hAnsi="Arial"/>
          <w:i w:val="0"/>
          <w:color w:val="000000"/>
          <w:sz w:val="22"/>
        </w:rPr>
        <w:t>Confidence itself combines tracking confidence at 35 percent, covariance quality at 25 percent, detection continuity at 25 percent, and track maturity at 15 percent. Distance risk decreases exponentially with a 30 metre scale. Collision risk evaluates predicted minimum separation and a two dimensional closest point of approach, using a 5 metre safe distance scale and 3 second time scale.</w:t>
      </w:r>
    </w:p>
    <w:p>
      <w:r>
        <w:rPr>
          <w:rFonts w:ascii="Arial" w:hAnsi="Arial"/>
          <w:i w:val="0"/>
          <w:color w:val="000000"/>
          <w:sz w:val="22"/>
        </w:rPr>
        <w:t>The scene score uses a complement product across actors. This keeps the result bounded while allowing several moderate actor scores to raise total risk. These values are normalized engineering scores and do not represent statistically calibrated crash probabilities.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41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9"/>
              </w:rPr>
              <w:t>Canonical Class</w:t>
            </w:r>
          </w:p>
        </w:tc>
        <w:tc>
          <w:tcPr>
            <w:tcW w:type="dxa" w:w="244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9"/>
              </w:rPr>
              <w:t>Raw Weight</w:t>
            </w:r>
          </w:p>
        </w:tc>
        <w:tc>
          <w:tcPr>
            <w:tcW w:type="dxa" w:w="316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9"/>
              </w:rPr>
              <w:t>Normalized Relative to Car</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Car</w:t>
            </w:r>
          </w:p>
        </w:tc>
        <w:tc>
          <w:tcPr>
            <w:tcW w:type="dxa" w:w="24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0.80</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1.000</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Bus or truck</w:t>
            </w:r>
          </w:p>
        </w:tc>
        <w:tc>
          <w:tcPr>
            <w:tcW w:type="dxa" w:w="24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0.90</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1.125</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Autorickshaw</w:t>
            </w:r>
          </w:p>
        </w:tc>
        <w:tc>
          <w:tcPr>
            <w:tcW w:type="dxa" w:w="24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1.00</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1.250</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Motorcycle bicycle or two wheeler</w:t>
            </w:r>
          </w:p>
        </w:tc>
        <w:tc>
          <w:tcPr>
            <w:tcW w:type="dxa" w:w="24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1.10</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1.375</w:t>
            </w:r>
          </w:p>
        </w:tc>
      </w:tr>
      <w:tr>
        <w:trPr>
          <w:cantSplit w:val="true"/>
        </w:trPr>
        <w:tc>
          <w:tcPr>
            <w:tcW w:type="dxa" w:w="41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Pedestrian or pushcart</w:t>
            </w:r>
          </w:p>
        </w:tc>
        <w:tc>
          <w:tcPr>
            <w:tcW w:type="dxa" w:w="24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1.20</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1.500</w:t>
            </w:r>
          </w:p>
        </w:tc>
      </w:tr>
      <w:tr>
        <w:trPr>
          <w:cantSplit w:val="true"/>
        </w:trPr>
        <w:tc>
          <w:tcPr>
            <w:tcW w:type="dxa" w:w="41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9"/>
              </w:rPr>
              <w:t>Animal cattle or unknown</w:t>
            </w:r>
          </w:p>
        </w:tc>
        <w:tc>
          <w:tcPr>
            <w:tcW w:type="dxa" w:w="24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1.30</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9"/>
              </w:rPr>
              <w:t>1.625</w:t>
            </w:r>
          </w:p>
        </w:tc>
      </w:tr>
    </w:tbl>
    <w:p>
      <w:pPr>
        <w:spacing w:after="40"/>
      </w:pPr>
    </w:p>
    <w:p>
      <w:r>
        <w:rPr>
          <w:rFonts w:ascii="Arial" w:hAnsi="Arial"/>
          <w:b/>
          <w:color w:val="000000"/>
          <w:sz w:val="22"/>
        </w:rPr>
        <w:t xml:space="preserve">Class weight boundary  </w:t>
      </w:r>
      <w:r>
        <w:rPr>
          <w:rFonts w:ascii="Arial" w:hAnsi="Arial"/>
          <w:i w:val="0"/>
          <w:color w:val="000000"/>
          <w:sz w:val="22"/>
        </w:rPr>
        <w:t>The class values are engineering priors. They were not learned from IDD and should be recalibrated before real deployment.</w:t>
      </w:r>
    </w:p>
    <w:p>
      <w:pPr>
        <w:pStyle w:val="Heading1"/>
      </w:pPr>
      <w:r>
        <w:t>Governor States and Outputs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94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State</w:t>
            </w:r>
          </w:p>
        </w:tc>
        <w:tc>
          <w:tcPr>
            <w:tcW w:type="dxa" w:w="403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Entry and Exit Logic</w:t>
            </w:r>
          </w:p>
        </w:tc>
        <w:tc>
          <w:tcPr>
            <w:tcW w:type="dxa" w:w="381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Envelope and Speed Response</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NORMAL</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Risk remains below 0.35, or falls to 0.25 or lower during de escalation.</w:t>
            </w:r>
          </w:p>
        </w:tc>
        <w:tc>
          <w:tcPr>
            <w:tcW w:type="dxa" w:w="38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Global envelope multiplier 1.0. Nominal target speed 6.0 metres per second when the path is safe.</w:t>
            </w:r>
          </w:p>
        </w:tc>
      </w:tr>
      <w:tr>
        <w:trPr>
          <w:cantSplit w:val="true"/>
        </w:trPr>
        <w:tc>
          <w:tcPr>
            <w:tcW w:type="dxa" w:w="19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CAUTIOUS</w:t>
            </w:r>
          </w:p>
        </w:tc>
        <w:tc>
          <w:tcPr>
            <w:tcW w:type="dxa" w:w="40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Enter at risk 0.35. Remain until risk reaches 0.70 or falls to 0.25.</w:t>
            </w:r>
          </w:p>
        </w:tc>
        <w:tc>
          <w:tcPr>
            <w:tcW w:type="dxa" w:w="381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Global envelope multiplier 1.2. Target speed scale 0.65, giving 3.9 metres per second.</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CONSERVATIVE STOP</w:t>
            </w:r>
          </w:p>
        </w:tc>
        <w:tc>
          <w:tcPr>
            <w:tcW w:type="dxa" w:w="40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Enter at risk 0.70. Remain until risk falls to 0.55 or lower.</w:t>
            </w:r>
          </w:p>
        </w:tc>
        <w:tc>
          <w:tcPr>
            <w:tcW w:type="dxa" w:w="381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Global envelope multiplier 1.5. The controller commands zero target speed and applies bounded braking.</w:t>
            </w:r>
          </w:p>
        </w:tc>
      </w:tr>
    </w:tbl>
    <w:p>
      <w:pPr>
        <w:spacing w:after="40"/>
      </w:pPr>
    </w:p>
    <w:p>
      <w:r>
        <w:rPr>
          <w:rFonts w:ascii="Arial" w:hAnsi="Arial"/>
          <w:i w:val="0"/>
          <w:color w:val="000000"/>
          <w:sz w:val="22"/>
        </w:rPr>
        <w:t>Each actor also receives its own multiplier equal to one plus 1.5 times actor risk. The final envelope combines the actor multiplier with the state multiplier. The cattle scenario recorded a maximum combined adaptive envelope scale of 3.083.</w:t>
      </w:r>
    </w:p>
    <w:p>
      <w:r>
        <w:rPr>
          <w:rFonts w:ascii="Arial" w:hAnsi="Arial"/>
          <w:i w:val="0"/>
          <w:color w:val="000000"/>
          <w:sz w:val="22"/>
        </w:rPr>
        <w:t>Replanning urgency assigns 60 percent to total risk and 40 percent to inverse minimum confidence. Values above 0.50 request replanning. A conservative stop state always requests replanning. The controller also reacts to state changes, risk changes of at least 0.12, active path invalidation, and the 3 second periodic limit, subject to a 0.8 second cooldown for risk driven requests.</w:t>
      </w:r>
    </w:p>
    <w:p>
      <w:pPr>
        <w:pStyle w:val="Heading1"/>
      </w:pPr>
      <w:r>
        <w:t>Planning and Control Parameters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302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Parameter</w:t>
            </w:r>
          </w:p>
        </w:tc>
        <w:tc>
          <w:tcPr>
            <w:tcW w:type="dxa" w:w="223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Configured Value</w:t>
            </w:r>
          </w:p>
        </w:tc>
        <w:tc>
          <w:tcPr>
            <w:tcW w:type="dxa" w:w="453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Purpose</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Map cell size</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0.25 m</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Balances spatial detail and planning cost.</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Minimum turning radius</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5.0 m</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Constrains Hybrid A Star motion to vehicle feasible curves.</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Motion primitive length</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1.0 m</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Sets Hybrid A Star expansion distance.</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Motion primitives</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5</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Provides a compact forward steering set.</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Planning direction</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Forward</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Avoids reverse motion in the current scenarios.</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Validation distance</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0.25 m</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Checks path interpolation against the occupancy validator.</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Vehicle size</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4.7 m by 1.8 m</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Inflates collision validation for the ego footprint.</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Wheelbase</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2.8 m</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Used by Pure Pursuit and the kinematic bicycle model.</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Control period</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0.20 s</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Runs the closed loop at five updates per simulated second.</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Lookahead distance</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4.0 m</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Selects the Pure Pursuit target along the active path.</w:t>
            </w:r>
          </w:p>
        </w:tc>
      </w:tr>
      <w:tr>
        <w:trPr>
          <w:cantSplit w:val="true"/>
        </w:trPr>
        <w:tc>
          <w:tcPr>
            <w:tcW w:type="dxa" w:w="302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Steering limit</w:t>
            </w:r>
          </w:p>
        </w:tc>
        <w:tc>
          <w:tcPr>
            <w:tcW w:type="dxa" w:w="223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30 degrees</w:t>
            </w:r>
          </w:p>
        </w:tc>
        <w:tc>
          <w:tcPr>
            <w:tcW w:type="dxa" w:w="453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Bounds commanded front wheel steering.</w:t>
            </w:r>
          </w:p>
        </w:tc>
      </w:tr>
      <w:tr>
        <w:trPr>
          <w:cantSplit w:val="true"/>
        </w:trPr>
        <w:tc>
          <w:tcPr>
            <w:tcW w:type="dxa" w:w="302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Acceleration limits</w:t>
            </w:r>
          </w:p>
        </w:tc>
        <w:tc>
          <w:tcPr>
            <w:tcW w:type="dxa" w:w="223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+2 and -4 m per s squared</w:t>
            </w:r>
          </w:p>
        </w:tc>
        <w:tc>
          <w:tcPr>
            <w:tcW w:type="dxa" w:w="453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Represents bounded acceleration and stronger braking.</w:t>
            </w:r>
          </w:p>
        </w:tc>
      </w:tr>
    </w:tbl>
    <w:p>
      <w:pPr>
        <w:spacing w:after="40"/>
      </w:pPr>
    </w:p>
    <w:p>
      <w:pPr>
        <w:pStyle w:val="Heading1"/>
      </w:pPr>
      <w:r>
        <w:t>Development Methodology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80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Stage</w:t>
            </w:r>
          </w:p>
        </w:tc>
        <w:tc>
          <w:tcPr>
            <w:tcW w:type="dxa" w:w="460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Implementation Focus</w:t>
            </w:r>
          </w:p>
        </w:tc>
        <w:tc>
          <w:tcPr>
            <w:tcW w:type="dxa" w:w="338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Verification</w:t>
            </w:r>
          </w:p>
        </w:tc>
      </w:tr>
      <w:tr>
        <w:trPr>
          <w:cantSplit w:val="true"/>
        </w:trPr>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Foundation</w:t>
            </w:r>
          </w:p>
        </w:tc>
        <w:tc>
          <w:tcPr>
            <w:tcW w:type="dxa" w:w="46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Configuration, scenarios, synthetic perception, tracking, prediction, occupancy, and baseline planning.</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Unit tests for perception, tracking, occupancy, and planning.</w:t>
            </w:r>
          </w:p>
        </w:tc>
      </w:tr>
      <w:tr>
        <w:trPr>
          <w:cantSplit w:val="true"/>
        </w:trPr>
        <w:tc>
          <w:tcPr>
            <w:tcW w:type="dxa" w:w="180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Adaptive safety</w:t>
            </w:r>
          </w:p>
        </w:tc>
        <w:tc>
          <w:tcPr>
            <w:tcW w:type="dxa" w:w="460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ACARG risk components, class weighting, hysteresis, envelope scaling, and speed response.</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ACARG component and state transition tests.</w:t>
            </w:r>
          </w:p>
        </w:tc>
      </w:tr>
      <w:tr>
        <w:trPr>
          <w:cantSplit w:val="true"/>
        </w:trPr>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Closed loop</w:t>
            </w:r>
          </w:p>
        </w:tc>
        <w:tc>
          <w:tcPr>
            <w:tcW w:type="dxa" w:w="46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Online replanning, Pure Pursuit, bicycle dynamics, collision checking, and safe termination.</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Closed loop regression and path safety assertions.</w:t>
            </w:r>
          </w:p>
        </w:tc>
      </w:tr>
      <w:tr>
        <w:trPr>
          <w:cantSplit w:val="true"/>
        </w:trPr>
        <w:tc>
          <w:tcPr>
            <w:tcW w:type="dxa" w:w="180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Scenario coverage</w:t>
            </w:r>
          </w:p>
        </w:tc>
        <w:tc>
          <w:tcPr>
            <w:tcW w:type="dxa" w:w="460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Five main road scenarios and eight controlled disturbances.</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Outcome, collision, recovery, risk, state, replanning, and smoothness metrics.</w:t>
            </w:r>
          </w:p>
        </w:tc>
      </w:tr>
      <w:tr>
        <w:trPr>
          <w:cantSplit w:val="true"/>
        </w:trPr>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Comparison</w:t>
            </w:r>
          </w:p>
        </w:tc>
        <w:tc>
          <w:tcPr>
            <w:tcW w:type="dxa" w:w="46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Fixed margin baseline, confidence ablation, CPA ablation, class ablation, and envelope ablation.</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Paired geometry and configuration comparisons.</w:t>
            </w:r>
          </w:p>
        </w:tc>
      </w:tr>
      <w:tr>
        <w:trPr>
          <w:cantSplit w:val="true"/>
        </w:trPr>
        <w:tc>
          <w:tcPr>
            <w:tcW w:type="dxa" w:w="180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Integration boundaries</w:t>
            </w:r>
          </w:p>
        </w:tc>
        <w:tc>
          <w:tcPr>
            <w:tcW w:type="dxa" w:w="460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state adapter and an opt in IDD image perception architecture.</w:t>
            </w:r>
          </w:p>
        </w:tc>
        <w:tc>
          <w:tcPr>
            <w:tcW w:type="dxa" w:w="338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Static RoadRunner checks and dataset independent IDD schema tests with honest skips.</w:t>
            </w:r>
          </w:p>
        </w:tc>
      </w:tr>
      <w:tr>
        <w:trPr>
          <w:cantSplit w:val="true"/>
        </w:trPr>
        <w:tc>
          <w:tcPr>
            <w:tcW w:type="dxa" w:w="180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Presentation evidence</w:t>
            </w:r>
          </w:p>
        </w:tc>
        <w:tc>
          <w:tcPr>
            <w:tcW w:type="dxa" w:w="460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Replay based diagnostic renderer, static figures, screenshots, and all scenario videos.</w:t>
            </w:r>
          </w:p>
        </w:tc>
        <w:tc>
          <w:tcPr>
            <w:tcW w:type="dxa" w:w="338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Every encoded frame decoded, timelines compared with source logs, and final cards checked.</w:t>
            </w:r>
          </w:p>
        </w:tc>
      </w:tr>
    </w:tbl>
    <w:p>
      <w:pPr>
        <w:spacing w:after="40"/>
      </w:pPr>
    </w:p>
    <w:p>
      <w:pPr>
        <w:pStyle w:val="Heading1"/>
      </w:pPr>
      <w:r>
        <w:t>Testing and Reproducibility</w:t>
      </w:r>
    </w:p>
    <w:p>
      <w:pPr>
        <w:pStyle w:val="ListBullet"/>
      </w:pPr>
      <w:r>
        <w:t>Deterministic seeds support repeatable perception and scenario runs.</w:t>
      </w:r>
    </w:p>
    <w:p>
      <w:pPr>
        <w:pStyle w:val="ListBullet"/>
      </w:pPr>
      <w:r>
        <w:t>Every run writes timestamped results instead of overwriting earlier evidence.</w:t>
      </w:r>
    </w:p>
    <w:p>
      <w:pPr>
        <w:pStyle w:val="ListBullet"/>
      </w:pPr>
      <w:r>
        <w:t>Baseline comparisons keep the planner, controller, actors, goals, vehicle geometry, and collision checks unchanged while disabling adaptive envelope control.</w:t>
      </w:r>
    </w:p>
    <w:p>
      <w:pPr>
        <w:pStyle w:val="ListBullet"/>
      </w:pPr>
      <w:r>
        <w:t>Ablations change only the named factor so confidence, closest point of approach, class priority, and adaptive envelope effects remain interpretable.</w:t>
      </w:r>
    </w:p>
    <w:p>
      <w:pPr>
        <w:pStyle w:val="ListBullet"/>
      </w:pPr>
      <w:r>
        <w:t>The final thirteen videos reuse a pinned Phase 11 source and verify replay equality before retaining extra display geometry.</w:t>
      </w:r>
    </w:p>
    <w:p>
      <w:pPr>
        <w:pStyle w:val="ListBullet"/>
      </w:pPr>
      <w:r>
        <w:t>The final video suite decodes all 3,200 frames and checks frame count, timing, 1440 by 900 resolution, outcome metadata, timelines, source metrics, and required screenshots.</w:t>
      </w:r>
    </w:p>
    <w:p>
      <w:pPr>
        <w:pStyle w:val="ListBullet"/>
      </w:pPr>
      <w:r>
        <w:t>The most recent full core regression reports all thirteen requested suites passed. RoadRunner runtime cases and genuine IDD data or model cases remain explicit skips rather than false passes.</w:t>
      </w:r>
    </w:p>
    <w:p>
      <w:pPr>
        <w:pStyle w:val="Heading1"/>
      </w:pPr>
      <w:r>
        <w:t>Technical Boundaries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94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Boundary</w:t>
            </w:r>
          </w:p>
        </w:tc>
        <w:tc>
          <w:tcPr>
            <w:tcW w:type="dxa" w:w="396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Current Implementation</w:t>
            </w:r>
          </w:p>
        </w:tc>
        <w:tc>
          <w:tcPr>
            <w:tcW w:type="dxa" w:w="388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Required Next Stage</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Perception source</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completed closed loop uses synthetic metric detections with controlled noise, dropout, and false positives.</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Connect calibrated camera or LiDAR perception and validate detection, tracking, and latency on recorded and live data.</w:t>
            </w:r>
          </w:p>
        </w:tc>
      </w:tr>
      <w:tr>
        <w:trPr>
          <w:cantSplit w:val="true"/>
        </w:trPr>
        <w:tc>
          <w:tcPr>
            <w:tcW w:type="dxa" w:w="19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Image to metric state</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IDD branch returns pixel boxes and semantic classes. It refuses to fabricate depth, velocity, yaw, or physical dimensions.</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Add camera calibration, depth or multi view estimation, ego motion compensation, metric tracking, and uncertainty propagation.</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runtime</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Manifests, canonical transforms, state adapters, launch guards, and static architecture tests are implemented.</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Run a genuine RoadRunner scene on a supported licensed Windows or Linux host and compare exchanged states frame by frame.</w:t>
            </w:r>
          </w:p>
        </w:tc>
      </w:tr>
      <w:tr>
        <w:trPr>
          <w:cantSplit w:val="true"/>
        </w:trPr>
        <w:tc>
          <w:tcPr>
            <w:tcW w:type="dxa" w:w="19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Risk interpretation</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ACARG risk is a bounded engineering control signal built from uncertainty, confidence, distance, and collision indicators.</w:t>
            </w:r>
          </w:p>
        </w:tc>
        <w:tc>
          <w:tcPr>
            <w:tcW w:type="dxa" w:w="38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Calibrate thresholds and class priorities from larger representative datasets; do not interpret the current score as crash probability or certification evidence.</w:t>
            </w:r>
          </w:p>
        </w:tc>
      </w:tr>
      <w:tr>
        <w:trPr>
          <w:cantSplit w:val="true"/>
        </w:trPr>
        <w:tc>
          <w:tcPr>
            <w:tcW w:type="dxa" w:w="19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Vehicle model</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current two dimensional kinematic bicycle model covers steering geometry and bounded longitudinal acceleration.</w:t>
            </w:r>
          </w:p>
        </w:tc>
        <w:tc>
          <w:tcPr>
            <w:tcW w:type="dxa" w:w="38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Introduce actuator delay, localization uncertainty, tire forces, friction variation, grade, weather, and higher fidelity vehicle dynamics before track testing.</w:t>
            </w:r>
          </w:p>
        </w:tc>
      </w:tr>
    </w:tbl>
    <w:p>
      <w:pPr>
        <w:spacing w:after="4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