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t>Feasibility and Viability Content</w:t>
      </w:r>
    </w:p>
    <w:p>
      <w:pPr>
        <w:keepNext/>
        <w:spacing w:after="200"/>
      </w:pPr>
      <w:r>
        <w:rPr>
          <w:rFonts w:ascii="Arial" w:hAnsi="Arial"/>
          <w:color w:val="000000"/>
          <w:sz w:val="23"/>
        </w:rPr>
        <w:t>The project is technically feasible as a MATLAB simulation and evaluation prototype. The core closed loop stack, scenario tests, metrics, and judge facing evidence are complete. Real camera integration, trained IDD perception, RoadRunner runtime, and vehicle deployment require separate validated stages.</w:t>
      </w:r>
    </w:p>
    <w:p>
      <w:pPr>
        <w:spacing w:after="240"/>
      </w:pPr>
      <w:r>
        <w:rPr>
          <w:rFonts w:ascii="Arial" w:hAnsi="Arial"/>
          <w:b/>
          <w:color w:val="595959"/>
          <w:sz w:val="19"/>
        </w:rPr>
        <w:t>Project SIH26037   Smart India Hackathon 2026   Repository status 6 September 2026</w:t>
      </w:r>
    </w:p>
    <w:p>
      <w:pPr>
        <w:pStyle w:val="Heading1"/>
      </w:pPr>
      <w:r>
        <w:t>Slide Ready Content</w:t>
      </w:r>
    </w:p>
    <w:p>
      <w:pPr>
        <w:pStyle w:val="ListBullet"/>
      </w:pPr>
      <w:r>
        <w:t>Core feasibility proven in deterministic MATLAB simulation across five main scenarios and eight controlled disturbances, with no observed collisions.</w:t>
      </w:r>
    </w:p>
    <w:p>
      <w:pPr>
        <w:pStyle w:val="ListBullet"/>
      </w:pPr>
      <w:r>
        <w:t>The architecture uses available MathWorks components and a modular governor, reducing the need to replace the planner or controller.</w:t>
      </w:r>
    </w:p>
    <w:p>
      <w:pPr>
        <w:pStyle w:val="ListBullet"/>
      </w:pPr>
      <w:r>
        <w:t>Regression coverage, timestamped results, paired baselines, ablations, thirteen videos, and thirty nine screenshots support reproducibility.</w:t>
      </w:r>
    </w:p>
    <w:p>
      <w:pPr>
        <w:pStyle w:val="ListBullet"/>
      </w:pPr>
      <w:r>
        <w:t>Main constraints are the simulator reality gap, hand tuned risk weights, missing metric vision state estimation, RoadRunner platform requirements, and pending IDD dataset plus YOLOX execution.</w:t>
      </w:r>
    </w:p>
    <w:p>
      <w:pPr>
        <w:pStyle w:val="ListBullet"/>
      </w:pPr>
      <w:r>
        <w:t>A staged path from simulation to sensor in the loop, vehicle in the loop, controlled track testing, and limited road pilots manages these risks.</w:t>
      </w:r>
    </w:p>
    <w:p>
      <w:pPr>
        <w:pStyle w:val="Heading1"/>
      </w:pPr>
      <w:r>
        <w:t>Feasibility Assessment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2088"/>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Area</w:t>
            </w:r>
          </w:p>
        </w:tc>
        <w:tc>
          <w:tcPr>
            <w:tcW w:type="dxa" w:w="4968"/>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Current Evidence</w:t>
            </w:r>
          </w:p>
        </w:tc>
        <w:tc>
          <w:tcPr>
            <w:tcW w:type="dxa" w:w="2736"/>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Assessment</w:t>
            </w:r>
          </w:p>
        </w:tc>
      </w:tr>
      <w:tr>
        <w:trPr>
          <w:cantSplit w:val="true"/>
        </w:trPr>
        <w:tc>
          <w:tcPr>
            <w:tcW w:type="dxa" w:w="20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Core autonomy logic</w:t>
            </w:r>
          </w:p>
        </w:tc>
        <w:tc>
          <w:tcPr>
            <w:tcW w:type="dxa" w:w="496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Perception simulation, tracking, prediction, occupancy, ACARG, planning, control, collision checking, and evaluation are implemented.</w:t>
            </w:r>
          </w:p>
        </w:tc>
        <w:tc>
          <w:tcPr>
            <w:tcW w:type="dxa" w:w="273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Feasible for software in the loop research and demonstration.</w:t>
            </w:r>
          </w:p>
        </w:tc>
      </w:tr>
      <w:tr>
        <w:trPr>
          <w:cantSplit w:val="true"/>
        </w:trPr>
        <w:tc>
          <w:tcPr>
            <w:tcW w:type="dxa" w:w="208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Scenario coverage</w:t>
            </w:r>
          </w:p>
        </w:tc>
        <w:tc>
          <w:tcPr>
            <w:tcW w:type="dxa" w:w="496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Five main road families and eight stress disturbances execute from the same closed loop stack.</w:t>
            </w:r>
          </w:p>
        </w:tc>
        <w:tc>
          <w:tcPr>
            <w:tcW w:type="dxa" w:w="273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Suitable for comparative prototype evaluation, but not enough for a safety case.</w:t>
            </w:r>
          </w:p>
        </w:tc>
      </w:tr>
      <w:tr>
        <w:trPr>
          <w:cantSplit w:val="true"/>
        </w:trPr>
        <w:tc>
          <w:tcPr>
            <w:tcW w:type="dxa" w:w="20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Real time potential</w:t>
            </w:r>
          </w:p>
        </w:tc>
        <w:tc>
          <w:tcPr>
            <w:tcW w:type="dxa" w:w="496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Pinned run mean replanning latency is 30.06 ms and ACARG overhead is 0.45 ms per frame against a 200 ms control period.</w:t>
            </w:r>
          </w:p>
        </w:tc>
        <w:tc>
          <w:tcPr>
            <w:tcW w:type="dxa" w:w="273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Promising on development hardware. Target hardware profiling remains required.</w:t>
            </w:r>
          </w:p>
        </w:tc>
      </w:tr>
      <w:tr>
        <w:trPr>
          <w:cantSplit w:val="true"/>
        </w:trPr>
        <w:tc>
          <w:tcPr>
            <w:tcW w:type="dxa" w:w="208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Safety response</w:t>
            </w:r>
          </w:p>
        </w:tc>
        <w:tc>
          <w:tcPr>
            <w:tcW w:type="dxa" w:w="496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No observed collisions, zero unsafe active path moving frames, and safe guard behavior in planning failures.</w:t>
            </w:r>
          </w:p>
        </w:tc>
        <w:tc>
          <w:tcPr>
            <w:tcW w:type="dxa" w:w="273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Behavior is internally consistent in tested deterministic cases.</w:t>
            </w:r>
          </w:p>
        </w:tc>
      </w:tr>
      <w:tr>
        <w:trPr>
          <w:cantSplit w:val="true"/>
        </w:trPr>
        <w:tc>
          <w:tcPr>
            <w:tcW w:type="dxa" w:w="20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RoadRunner integration</w:t>
            </w:r>
          </w:p>
        </w:tc>
        <w:tc>
          <w:tcPr>
            <w:tcW w:type="dxa" w:w="496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Canonical transforms, manifests, architecture checks, and guarded launch code exist. Twenty eight static checks pass.</w:t>
            </w:r>
          </w:p>
        </w:tc>
        <w:tc>
          <w:tcPr>
            <w:tcW w:type="dxa" w:w="273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Integration design is feasible. Runtime proof awaits a supported licensed host and real scene project.</w:t>
            </w:r>
          </w:p>
        </w:tc>
      </w:tr>
      <w:tr>
        <w:trPr>
          <w:cantSplit w:val="true"/>
        </w:trPr>
        <w:tc>
          <w:tcPr>
            <w:tcW w:type="dxa" w:w="208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IDD perception</w:t>
            </w:r>
          </w:p>
        </w:tc>
        <w:tc>
          <w:tcPr>
            <w:tcW w:type="dxa" w:w="496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Parsing, data contracts, YOLOX training wrapper, checkpoint rules, evaluation, and image demo paths exist.</w:t>
            </w:r>
          </w:p>
        </w:tc>
        <w:tc>
          <w:tcPr>
            <w:tcW w:type="dxa" w:w="273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Architecture is feasible. Execution remains blocked by missing genuine data, YOLOX add on, supported GPU, and storage.</w:t>
            </w:r>
          </w:p>
        </w:tc>
      </w:tr>
      <w:tr>
        <w:trPr>
          <w:cantSplit w:val="true"/>
        </w:trPr>
        <w:tc>
          <w:tcPr>
            <w:tcW w:type="dxa" w:w="20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Field deployment</w:t>
            </w:r>
          </w:p>
        </w:tc>
        <w:tc>
          <w:tcPr>
            <w:tcW w:type="dxa" w:w="496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No calibrated sensors, localization, actuation interface, HIL result, track test, or certification evidence exists.</w:t>
            </w:r>
          </w:p>
        </w:tc>
        <w:tc>
          <w:tcPr>
            <w:tcW w:type="dxa" w:w="273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Not yet viable for public road operation.</w:t>
            </w:r>
          </w:p>
        </w:tc>
      </w:tr>
    </w:tbl>
    <w:p>
      <w:pPr>
        <w:spacing w:after="40"/>
      </w:pPr>
    </w:p>
    <w:p>
      <w:pPr>
        <w:pStyle w:val="Heading1"/>
      </w:pPr>
      <w:r>
        <w:t>Resource and Platform Requirements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2520"/>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Resource</w:t>
            </w:r>
          </w:p>
        </w:tc>
        <w:tc>
          <w:tcPr>
            <w:tcW w:type="dxa" w:w="4032"/>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Purpose</w:t>
            </w:r>
          </w:p>
        </w:tc>
        <w:tc>
          <w:tcPr>
            <w:tcW w:type="dxa" w:w="3240"/>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Availability and Gap</w:t>
            </w:r>
          </w:p>
        </w:tc>
      </w:tr>
      <w:tr>
        <w:trPr>
          <w:cantSplit w:val="true"/>
        </w:trPr>
        <w:tc>
          <w:tcPr>
            <w:tcW w:type="dxa" w:w="252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MATLAB R2023b or later</w:t>
            </w:r>
          </w:p>
        </w:tc>
        <w:tc>
          <w:tcPr>
            <w:tcW w:type="dxa" w:w="403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Runs the main scripts and required planner interfaces. The executed environment used R2026a Update 5.</w:t>
            </w:r>
          </w:p>
        </w:tc>
        <w:tc>
          <w:tcPr>
            <w:tcW w:type="dxa" w:w="324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Available in the development environment.</w:t>
            </w:r>
          </w:p>
        </w:tc>
      </w:tr>
      <w:tr>
        <w:trPr>
          <w:cantSplit w:val="true"/>
        </w:trPr>
        <w:tc>
          <w:tcPr>
            <w:tcW w:type="dxa" w:w="252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Automated Driving Toolbox</w:t>
            </w:r>
          </w:p>
        </w:tc>
        <w:tc>
          <w:tcPr>
            <w:tcW w:type="dxa" w:w="403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Scenario creation and automated driving interfaces.</w:t>
            </w:r>
          </w:p>
        </w:tc>
        <w:tc>
          <w:tcPr>
            <w:tcW w:type="dxa" w:w="324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8"/>
              </w:rPr>
              <w:t>Available and used.</w:t>
            </w:r>
          </w:p>
        </w:tc>
      </w:tr>
      <w:tr>
        <w:trPr>
          <w:cantSplit w:val="true"/>
        </w:trPr>
        <w:tc>
          <w:tcPr>
            <w:tcW w:type="dxa" w:w="252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Navigation Toolbox</w:t>
            </w:r>
          </w:p>
        </w:tc>
        <w:tc>
          <w:tcPr>
            <w:tcW w:type="dxa" w:w="403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Occupancy maps and Hybrid A Star planning.</w:t>
            </w:r>
          </w:p>
        </w:tc>
        <w:tc>
          <w:tcPr>
            <w:tcW w:type="dxa" w:w="324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8"/>
              </w:rPr>
              <w:t>Available and used.</w:t>
            </w:r>
          </w:p>
        </w:tc>
      </w:tr>
      <w:tr>
        <w:trPr>
          <w:cantSplit w:val="true"/>
        </w:trPr>
        <w:tc>
          <w:tcPr>
            <w:tcW w:type="dxa" w:w="252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Sensor Fusion and Tracking Toolbox</w:t>
            </w:r>
          </w:p>
        </w:tc>
        <w:tc>
          <w:tcPr>
            <w:tcW w:type="dxa" w:w="403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8"/>
              </w:rPr>
              <w:t>trackingKF support.</w:t>
            </w:r>
          </w:p>
        </w:tc>
        <w:tc>
          <w:tcPr>
            <w:tcW w:type="dxa" w:w="324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Available where licensed. Local Kalman fallback reduces dependency risk.</w:t>
            </w:r>
          </w:p>
        </w:tc>
      </w:tr>
      <w:tr>
        <w:trPr>
          <w:cantSplit w:val="true"/>
        </w:trPr>
        <w:tc>
          <w:tcPr>
            <w:tcW w:type="dxa" w:w="252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Computer Vision and Deep Learning Toolboxes</w:t>
            </w:r>
          </w:p>
        </w:tc>
        <w:tc>
          <w:tcPr>
            <w:tcW w:type="dxa" w:w="403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IDD image pipeline and YOLOX training support.</w:t>
            </w:r>
          </w:p>
        </w:tc>
        <w:tc>
          <w:tcPr>
            <w:tcW w:type="dxa" w:w="324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Base toolboxes present.</w:t>
            </w:r>
          </w:p>
        </w:tc>
      </w:tr>
      <w:tr>
        <w:trPr>
          <w:cantSplit w:val="true"/>
        </w:trPr>
        <w:tc>
          <w:tcPr>
            <w:tcW w:type="dxa" w:w="252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Automated Visual Inspection Library add on</w:t>
            </w:r>
          </w:p>
        </w:tc>
        <w:tc>
          <w:tcPr>
            <w:tcW w:type="dxa" w:w="403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Provides yoloxObjectDetector and trainYOLOXObjectDetector.</w:t>
            </w:r>
          </w:p>
        </w:tc>
        <w:tc>
          <w:tcPr>
            <w:tcW w:type="dxa" w:w="324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Not installed in the audited environment.</w:t>
            </w:r>
          </w:p>
        </w:tc>
      </w:tr>
      <w:tr>
        <w:trPr>
          <w:cantSplit w:val="true"/>
        </w:trPr>
        <w:tc>
          <w:tcPr>
            <w:tcW w:type="dxa" w:w="252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Genuine IDD Detection dataset</w:t>
            </w:r>
          </w:p>
        </w:tc>
        <w:tc>
          <w:tcPr>
            <w:tcW w:type="dxa" w:w="403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Trains and validates image based road user detection.</w:t>
            </w:r>
          </w:p>
        </w:tc>
        <w:tc>
          <w:tcPr>
            <w:tcW w:type="dxa" w:w="324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Not configured. License controlled manual download required.</w:t>
            </w:r>
          </w:p>
        </w:tc>
      </w:tr>
      <w:tr>
        <w:trPr>
          <w:cantSplit w:val="true"/>
        </w:trPr>
        <w:tc>
          <w:tcPr>
            <w:tcW w:type="dxa" w:w="252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Supported GPU and storage</w:t>
            </w:r>
          </w:p>
        </w:tc>
        <w:tc>
          <w:tcPr>
            <w:tcW w:type="dxa" w:w="403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Practical development and full YOLOX training.</w:t>
            </w:r>
          </w:p>
        </w:tc>
        <w:tc>
          <w:tcPr>
            <w:tcW w:type="dxa" w:w="324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No MATLAB supported GPU. Full configuration guard requires at least 10 GB free, which was not available at final audit.</w:t>
            </w:r>
          </w:p>
        </w:tc>
      </w:tr>
      <w:tr>
        <w:trPr>
          <w:cantSplit w:val="true"/>
        </w:trPr>
        <w:tc>
          <w:tcPr>
            <w:tcW w:type="dxa" w:w="252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RoadRunner and RoadRunner Scenario</w:t>
            </w:r>
          </w:p>
        </w:tc>
        <w:tc>
          <w:tcPr>
            <w:tcW w:type="dxa" w:w="403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High fidelity scene authoring and runtime visualization.</w:t>
            </w:r>
          </w:p>
        </w:tc>
        <w:tc>
          <w:tcPr>
            <w:tcW w:type="dxa" w:w="324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Requires licenses, a genuine project, scene assets, and supported Windows or Linux execution.</w:t>
            </w:r>
          </w:p>
        </w:tc>
      </w:tr>
    </w:tbl>
    <w:p>
      <w:pPr>
        <w:spacing w:after="40"/>
      </w:pPr>
    </w:p>
    <w:p>
      <w:pPr>
        <w:pStyle w:val="Heading1"/>
      </w:pPr>
      <w:r>
        <w:t>Challenges Risks and Mitigation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2376"/>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7"/>
              </w:rPr>
              <w:t>Challenge or Risk</w:t>
            </w:r>
          </w:p>
        </w:tc>
        <w:tc>
          <w:tcPr>
            <w:tcW w:type="dxa" w:w="3528"/>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7"/>
              </w:rPr>
              <w:t>Why It Matters</w:t>
            </w:r>
          </w:p>
        </w:tc>
        <w:tc>
          <w:tcPr>
            <w:tcW w:type="dxa" w:w="3888"/>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7"/>
              </w:rPr>
              <w:t>Mitigation Strategy</w:t>
            </w:r>
          </w:p>
        </w:tc>
      </w:tr>
      <w:tr>
        <w:trPr>
          <w:cantSplit w:val="true"/>
        </w:trPr>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Simulation reality gap</w:t>
            </w:r>
          </w:p>
        </w:tc>
        <w:tc>
          <w:tcPr>
            <w:tcW w:type="dxa" w:w="352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Ground truth based detections with injected noise cannot reproduce every camera, radar, LiDAR, weather, or localization failure.</w:t>
            </w:r>
          </w:p>
        </w:tc>
        <w:tc>
          <w:tcPr>
            <w:tcW w:type="dxa" w:w="38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Progress through recorded sensor replay, calibrated sensor models, sensor in the loop, HIL, proving ground trials, and limited supervised road tests.</w:t>
            </w:r>
          </w:p>
        </w:tc>
      </w:tr>
      <w:tr>
        <w:trPr>
          <w:cantSplit w:val="true"/>
        </w:trPr>
        <w:tc>
          <w:tcPr>
            <w:tcW w:type="dxa" w:w="237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Image detections lack metric state</w:t>
            </w:r>
          </w:p>
        </w:tc>
        <w:tc>
          <w:tcPr>
            <w:tcW w:type="dxa" w:w="352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A pixel box cannot directly supply position, velocity, yaw, dimensions, or closest approach in metres.</w:t>
            </w:r>
          </w:p>
        </w:tc>
        <w:tc>
          <w:tcPr>
            <w:tcW w:type="dxa" w:w="388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Add calibrated camera geometry, depth, ego motion compensation, temporal tracking, radar or LiDAR fusion, and explicit uncertainty propagation before connecting vision to ACARG.</w:t>
            </w:r>
          </w:p>
        </w:tc>
      </w:tr>
      <w:tr>
        <w:trPr>
          <w:cantSplit w:val="true"/>
        </w:trPr>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IDD dataset and license dependency</w:t>
            </w:r>
          </w:p>
        </w:tc>
        <w:tc>
          <w:tcPr>
            <w:tcW w:type="dxa" w:w="352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The dataset is not present and cannot be silently downloaded or copied into the repository.</w:t>
            </w:r>
          </w:p>
        </w:tc>
        <w:tc>
          <w:tcPr>
            <w:tcW w:type="dxa" w:w="38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Obtain IDD Detection through the official portal, store it outside the repository, retain official train and validation lists, audit actual labels, and record provenance.</w:t>
            </w:r>
          </w:p>
        </w:tc>
      </w:tr>
      <w:tr>
        <w:trPr>
          <w:cantSplit w:val="true"/>
        </w:trPr>
        <w:tc>
          <w:tcPr>
            <w:tcW w:type="dxa" w:w="237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YOLOX compute dependency</w:t>
            </w:r>
          </w:p>
        </w:tc>
        <w:tc>
          <w:tcPr>
            <w:tcW w:type="dxa" w:w="352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The audited machine lacks the required add on and a MATLAB supported GPU.</w:t>
            </w:r>
          </w:p>
        </w:tc>
        <w:tc>
          <w:tcPr>
            <w:tcW w:type="dxa" w:w="388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Install the required add on on a supported machine, run a bounded genuine smoke test, verify checkpoint reload and held out inference, then enable full training explicitly.</w:t>
            </w:r>
          </w:p>
        </w:tc>
      </w:tr>
      <w:tr>
        <w:trPr>
          <w:cantSplit w:val="true"/>
        </w:trPr>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Hand tuned risk and class values</w:t>
            </w:r>
          </w:p>
        </w:tc>
        <w:tc>
          <w:tcPr>
            <w:tcW w:type="dxa" w:w="352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Engineering priors can become too conservative or too permissive in unseen traffic.</w:t>
            </w:r>
          </w:p>
        </w:tc>
        <w:tc>
          <w:tcPr>
            <w:tcW w:type="dxa" w:w="38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Calibrate with measured data, perform sensitivity sweeps, retain ablation evidence, define acceptance ranges, and review values with safety engineers.</w:t>
            </w:r>
          </w:p>
        </w:tc>
      </w:tr>
      <w:tr>
        <w:trPr>
          <w:cantSplit w:val="true"/>
        </w:trPr>
        <w:tc>
          <w:tcPr>
            <w:tcW w:type="dxa" w:w="237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Constant velocity prediction</w:t>
            </w:r>
          </w:p>
        </w:tc>
        <w:tc>
          <w:tcPr>
            <w:tcW w:type="dxa" w:w="352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Pedestrians, cattle, and aggressive vehicles can change direction or speed faster than the model expects.</w:t>
            </w:r>
          </w:p>
        </w:tc>
        <w:tc>
          <w:tcPr>
            <w:tcW w:type="dxa" w:w="388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Evaluate interacting multiple models, nonlinear filters, maneuver prediction, and reachable sets. Keep confidence decay and covariance inflation as conservative fallbacks.</w:t>
            </w:r>
          </w:p>
        </w:tc>
      </w:tr>
      <w:tr>
        <w:trPr>
          <w:cantSplit w:val="true"/>
        </w:trPr>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Planner failure in dense occupancy</w:t>
            </w:r>
          </w:p>
        </w:tc>
        <w:tc>
          <w:tcPr>
            <w:tcW w:type="dxa" w:w="352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Hybrid A Star can fail when adaptive envelopes block all routes or when search limits are reached.</w:t>
            </w:r>
          </w:p>
        </w:tc>
        <w:tc>
          <w:tcPr>
            <w:tcW w:type="dxa" w:w="38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Retain the safe zero target speed guard, improve recovery planning, add bounded search escalation, consider alternative local planners, and define a minimum risk maneuver policy.</w:t>
            </w:r>
          </w:p>
        </w:tc>
      </w:tr>
      <w:tr>
        <w:trPr>
          <w:cantSplit w:val="true"/>
        </w:trPr>
        <w:tc>
          <w:tcPr>
            <w:tcW w:type="dxa" w:w="237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Timing variability</w:t>
            </w:r>
          </w:p>
        </w:tc>
        <w:tc>
          <w:tcPr>
            <w:tcW w:type="dxa" w:w="352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Development laptop timings do not guarantee embedded performance or worst case response.</w:t>
            </w:r>
          </w:p>
        </w:tc>
        <w:tc>
          <w:tcPr>
            <w:tcW w:type="dxa" w:w="388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Profile on the target processor, measure per frame worst case latency, set computation deadlines, preallocate data, generate code where supported, and test overload behavior.</w:t>
            </w:r>
          </w:p>
        </w:tc>
      </w:tr>
      <w:tr>
        <w:trPr>
          <w:cantSplit w:val="true"/>
        </w:trPr>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RoadRunner runtime gap</w:t>
            </w:r>
          </w:p>
        </w:tc>
        <w:tc>
          <w:tcPr>
            <w:tcW w:type="dxa" w:w="352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Static interface tests cannot prove that real scenes, assets, and APIs exchange state correctly.</w:t>
            </w:r>
          </w:p>
        </w:tc>
        <w:tc>
          <w:tcPr>
            <w:tcW w:type="dxa" w:w="38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Create the genuine project on a supported host, use the supplied manifests, validate coordinate transforms, run the short synchronized smoke test, and retain runtime logs and footage.</w:t>
            </w:r>
          </w:p>
        </w:tc>
      </w:tr>
      <w:tr>
        <w:trPr>
          <w:cantSplit w:val="true"/>
        </w:trPr>
        <w:tc>
          <w:tcPr>
            <w:tcW w:type="dxa" w:w="237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Limited scenario diversity</w:t>
            </w:r>
          </w:p>
        </w:tc>
        <w:tc>
          <w:tcPr>
            <w:tcW w:type="dxa" w:w="352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Thirteen deterministic scenarios cannot represent the long tail of Indian road behavior.</w:t>
            </w:r>
          </w:p>
        </w:tc>
        <w:tc>
          <w:tcPr>
            <w:tcW w:type="dxa" w:w="388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Parameterize actor speed, spawn time, occlusion, road width, illumination, weather, and sensor faults. Run Monte Carlo campaigns with coverage targets.</w:t>
            </w:r>
          </w:p>
        </w:tc>
      </w:tr>
      <w:tr>
        <w:trPr>
          <w:cantSplit w:val="true"/>
        </w:trPr>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Safety assurance</w:t>
            </w:r>
          </w:p>
        </w:tc>
        <w:tc>
          <w:tcPr>
            <w:tcW w:type="dxa" w:w="352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No simulation result alone authorizes public road deployment.</w:t>
            </w:r>
          </w:p>
        </w:tc>
        <w:tc>
          <w:tcPr>
            <w:tcW w:type="dxa" w:w="38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Define hazards, safety goals, operational design domain, traceable requirements, independent verification, and an ISO 26262 and ISO 21448 aligned assurance process.</w:t>
            </w:r>
          </w:p>
        </w:tc>
      </w:tr>
      <w:tr>
        <w:trPr>
          <w:cantSplit w:val="true"/>
        </w:trPr>
        <w:tc>
          <w:tcPr>
            <w:tcW w:type="dxa" w:w="237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Evidence integrity</w:t>
            </w:r>
          </w:p>
        </w:tc>
        <w:tc>
          <w:tcPr>
            <w:tcW w:type="dxa" w:w="352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Presentation assets can drift away from the underlying simulation results.</w:t>
            </w:r>
          </w:p>
        </w:tc>
        <w:tc>
          <w:tcPr>
            <w:tcW w:type="dxa" w:w="388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Keep timestamped immutable runs, source hashes, replay equality checks, automated outcome comparisons, and disclosure labels on simulation only evidence.</w:t>
            </w:r>
          </w:p>
        </w:tc>
      </w:tr>
    </w:tbl>
    <w:p>
      <w:pPr>
        <w:spacing w:after="40"/>
      </w:pPr>
    </w:p>
    <w:p>
      <w:pPr>
        <w:pStyle w:val="Heading1"/>
      </w:pPr>
      <w:r>
        <w:t>Operational Viability</w:t>
      </w:r>
    </w:p>
    <w:p>
      <w:r>
        <w:rPr>
          <w:rFonts w:ascii="Arial" w:hAnsi="Arial"/>
          <w:i w:val="0"/>
          <w:color w:val="000000"/>
          <w:sz w:val="22"/>
        </w:rPr>
        <w:t>The modular design improves operational viability. ACARG changes envelope scale, target speed, and replanning policy through configuration while the Hybrid A Star planner and controller remain reusable. The same risk governor can therefore be evaluated with alternative perception sources or planners without rewriting the complete stack.</w:t>
      </w:r>
    </w:p>
    <w:p>
      <w:pPr>
        <w:pStyle w:val="ListBullet"/>
      </w:pPr>
      <w:r>
        <w:t>The existing prototype is viable for research demonstrations, software in the loop evaluation, teaching, and early algorithm comparison.</w:t>
      </w:r>
    </w:p>
    <w:p>
      <w:pPr>
        <w:pStyle w:val="ListBullet"/>
      </w:pPr>
      <w:r>
        <w:t>A RoadRunner backed version is viable after platform, license, project, and scene prerequisites are met and runtime state exchange passes.</w:t>
      </w:r>
    </w:p>
    <w:p>
      <w:pPr>
        <w:pStyle w:val="ListBullet"/>
      </w:pPr>
      <w:r>
        <w:t>An IDD trained detector is viable after genuine data access, add on installation, GPU availability, storage headroom, smoke proof, and full validation.</w:t>
      </w:r>
    </w:p>
    <w:p>
      <w:pPr>
        <w:pStyle w:val="ListBullet"/>
      </w:pPr>
      <w:r>
        <w:t>An on vehicle product is not yet viable because calibrated metric perception, localization, actuation, redundancy, embedded timing, and a safety assurance process are absent.</w:t>
      </w:r>
    </w:p>
    <w:p>
      <w:pPr>
        <w:pStyle w:val="Heading1"/>
      </w:pPr>
      <w:r>
        <w:t>Staged Implementation Roadmap</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1728"/>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7"/>
              </w:rPr>
              <w:t>Stage</w:t>
            </w:r>
          </w:p>
        </w:tc>
        <w:tc>
          <w:tcPr>
            <w:tcW w:type="dxa" w:w="4680"/>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7"/>
              </w:rPr>
              <w:t>Work</w:t>
            </w:r>
          </w:p>
        </w:tc>
        <w:tc>
          <w:tcPr>
            <w:tcW w:type="dxa" w:w="3384"/>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7"/>
              </w:rPr>
              <w:t>Exit Criteria</w:t>
            </w:r>
          </w:p>
        </w:tc>
      </w:tr>
      <w:tr>
        <w:trPr>
          <w:cantSplit w:val="true"/>
        </w:trPr>
        <w:tc>
          <w:tcPr>
            <w:tcW w:type="dxa" w:w="172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1 Current prototype</w:t>
            </w:r>
          </w:p>
        </w:tc>
        <w:tc>
          <w:tcPr>
            <w:tcW w:type="dxa" w:w="468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Maintain the frozen MATLAB stack and judge facing evidence.</w:t>
            </w:r>
          </w:p>
        </w:tc>
        <w:tc>
          <w:tcPr>
            <w:tcW w:type="dxa" w:w="338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All core regression suites pass and every result used in the presentation maps to a saved source.</w:t>
            </w:r>
          </w:p>
        </w:tc>
      </w:tr>
      <w:tr>
        <w:trPr>
          <w:cantSplit w:val="true"/>
        </w:trPr>
        <w:tc>
          <w:tcPr>
            <w:tcW w:type="dxa" w:w="172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2 Genuine IDD smoke</w:t>
            </w:r>
          </w:p>
        </w:tc>
        <w:tc>
          <w:tcPr>
            <w:tcW w:type="dxa" w:w="468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Configure licensed data, inspect annotations, install YOLOX, train a tiny model, reload it, and run held out inference.</w:t>
            </w:r>
          </w:p>
        </w:tc>
        <w:tc>
          <w:tcPr>
            <w:tcW w:type="dxa" w:w="3384"/>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Real source overlays, provenance, loss history, checkpoint reload, and no fabricated metric state.</w:t>
            </w:r>
          </w:p>
        </w:tc>
      </w:tr>
      <w:tr>
        <w:trPr>
          <w:cantSplit w:val="true"/>
        </w:trPr>
        <w:tc>
          <w:tcPr>
            <w:tcW w:type="dxa" w:w="172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3 Full image evaluation</w:t>
            </w:r>
          </w:p>
        </w:tc>
        <w:tc>
          <w:tcPr>
            <w:tcW w:type="dxa" w:w="468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Train the selected detector on official usable splits and evaluate per class and overall metrics.</w:t>
            </w:r>
          </w:p>
        </w:tc>
        <w:tc>
          <w:tcPr>
            <w:tcW w:type="dxa" w:w="338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Reproducible model artifact, precision recall evidence, error analysis, and disclosed dataset version.</w:t>
            </w:r>
          </w:p>
        </w:tc>
      </w:tr>
      <w:tr>
        <w:trPr>
          <w:cantSplit w:val="true"/>
        </w:trPr>
        <w:tc>
          <w:tcPr>
            <w:tcW w:type="dxa" w:w="172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4 Metric perception fusion</w:t>
            </w:r>
          </w:p>
        </w:tc>
        <w:tc>
          <w:tcPr>
            <w:tcW w:type="dxa" w:w="468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Convert image and range sensor data into tracked metric actors with uncertainty.</w:t>
            </w:r>
          </w:p>
        </w:tc>
        <w:tc>
          <w:tcPr>
            <w:tcW w:type="dxa" w:w="3384"/>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Position and velocity accuracy, confidence calibration, track continuity, and CPA error meet defined targets.</w:t>
            </w:r>
          </w:p>
        </w:tc>
      </w:tr>
      <w:tr>
        <w:trPr>
          <w:cantSplit w:val="true"/>
        </w:trPr>
        <w:tc>
          <w:tcPr>
            <w:tcW w:type="dxa" w:w="172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5 RoadRunner runtime</w:t>
            </w:r>
          </w:p>
        </w:tc>
        <w:tc>
          <w:tcPr>
            <w:tcW w:type="dxa" w:w="468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Build genuine scenes and validate synchronized actor exchange on Windows or Linux.</w:t>
            </w:r>
          </w:p>
        </w:tc>
        <w:tc>
          <w:tcPr>
            <w:tcW w:type="dxa" w:w="338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Coordinate, time, actor class, and replay correspondence checks pass.</w:t>
            </w:r>
          </w:p>
        </w:tc>
      </w:tr>
      <w:tr>
        <w:trPr>
          <w:cantSplit w:val="true"/>
        </w:trPr>
        <w:tc>
          <w:tcPr>
            <w:tcW w:type="dxa" w:w="172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6 Target hardware and HIL</w:t>
            </w:r>
          </w:p>
        </w:tc>
        <w:tc>
          <w:tcPr>
            <w:tcW w:type="dxa" w:w="468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Profile the complete loop and inject sensor, compute, and communication faults.</w:t>
            </w:r>
          </w:p>
        </w:tc>
        <w:tc>
          <w:tcPr>
            <w:tcW w:type="dxa" w:w="3384"/>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Deadline compliance, graceful degradation, deterministic safe state, and recorded HIL evidence.</w:t>
            </w:r>
          </w:p>
        </w:tc>
      </w:tr>
      <w:tr>
        <w:trPr>
          <w:cantSplit w:val="true"/>
        </w:trPr>
        <w:tc>
          <w:tcPr>
            <w:tcW w:type="dxa" w:w="172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7 Controlled vehicle tests</w:t>
            </w:r>
          </w:p>
        </w:tc>
        <w:tc>
          <w:tcPr>
            <w:tcW w:type="dxa" w:w="468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Start at a closed proving ground and expand only within a defined operational domain.</w:t>
            </w:r>
          </w:p>
        </w:tc>
        <w:tc>
          <w:tcPr>
            <w:tcW w:type="dxa" w:w="338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Independent safety review, emergency controls, scenario coverage, and approved test procedures.</w:t>
            </w:r>
          </w:p>
        </w:tc>
      </w:tr>
    </w:tbl>
    <w:p>
      <w:pPr>
        <w:spacing w:after="40"/>
      </w:pPr>
    </w:p>
    <w:p>
      <w:pPr>
        <w:pStyle w:val="Heading1"/>
      </w:pPr>
      <w:r>
        <w:t>Viability Conclusion</w:t>
      </w:r>
    </w:p>
    <w:p>
      <w:r>
        <w:rPr>
          <w:rFonts w:ascii="Arial" w:hAnsi="Arial"/>
          <w:i w:val="0"/>
          <w:color w:val="000000"/>
          <w:sz w:val="22"/>
        </w:rPr>
        <w:t>The idea is viable as a modular simulation based decision and planning prototype, and its current evidence is sufficient for an honest SIH demonstration. The strongest next investment is metric perception validation, not additional presentation polish or unsupported claims. Field viability depends on closing the IDD, sensor fusion, RoadRunner runtime, target hardware, scenario coverage, and safety assurance gaps in sequence.</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95959"/>
        <w:sz w:val="17"/>
      </w:rPr>
      <w:t>SIH26037  Presentation Content</w:t>
    </w:r>
    <w:r>
      <w:t xml:space="preserve">                                      </w:t>
    </w:r>
    <w:r>
      <w:rPr>
        <w:rFonts w:ascii="Arial" w:hAnsi="Arial"/>
        <w:color w:val="595959"/>
        <w:sz w:val="17"/>
      </w:rPr>
      <w:t xml:space="preserve">Page </w:t>
    </w:r>
    <w:r>
      <w:rPr>
        <w:rFonts w:ascii="Arial" w:hAnsi="Arial"/>
        <w:color w:val="595959"/>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Bdr>
        <w:top w:val="nil"/>
        <w:left w:val="nil"/>
        <w:bottom w:val="nil"/>
        <w:right w:val="nil"/>
        <w:between w:val="nil"/>
        <w:bar w:val="nil"/>
      </w:pBdr>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spacing w:after="60" w:line="252" w:lineRule="auto"/>
      <w:contextualSpacing/>
    </w:pPr>
    <w:rPr>
      <w:rFonts w:ascii="Arial" w:hAnsi="Arial"/>
      <w:color w:val="00000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