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Impact and Benefits Content</w:t>
      </w:r>
    </w:p>
    <w:p>
      <w:pPr>
        <w:keepNext/>
        <w:spacing w:after="200"/>
      </w:pPr>
      <w:r>
        <w:rPr>
          <w:rFonts w:ascii="Arial" w:hAnsi="Arial"/>
          <w:color w:val="000000"/>
          <w:sz w:val="23"/>
        </w:rPr>
        <w:t>The project demonstrates how an autonomous vehicle can respond more conservatively when observations become uncertain or vulnerable road users create a predicted conflict. Its immediate value is safer and more explainable simulation based development for heterogeneous road conditions.</w:t>
      </w:r>
    </w:p>
    <w:p>
      <w:pPr>
        <w:spacing w:after="240"/>
      </w:pPr>
      <w:r>
        <w:rPr>
          <w:rFonts w:ascii="Arial" w:hAnsi="Arial"/>
          <w:b/>
          <w:color w:val="595959"/>
          <w:sz w:val="19"/>
        </w:rPr>
        <w:t>Project SIH26037   Smart India Hackathon 2026   Repository status 6 September 2026</w:t>
      </w:r>
    </w:p>
    <w:p>
      <w:pPr>
        <w:pStyle w:val="Heading1"/>
      </w:pPr>
      <w:r>
        <w:t>Slide Ready Content</w:t>
      </w:r>
    </w:p>
    <w:p>
      <w:pPr>
        <w:pStyle w:val="ListBullet"/>
      </w:pPr>
      <w:r>
        <w:t>Target users include autonomous vehicle researchers, automotive engineering teams, mobility start ups, testing laboratories, and universities working on mixed traffic autonomy.</w:t>
      </w:r>
    </w:p>
    <w:p>
      <w:pPr>
        <w:pStyle w:val="ListBullet"/>
      </w:pPr>
      <w:r>
        <w:t>Safety benefit comes from confidence aware speed reduction, actor specific safety envelopes, closest approach reasoning, online replanning, and a conservative stop command when risk becomes severe.</w:t>
      </w:r>
    </w:p>
    <w:p>
      <w:pPr>
        <w:pStyle w:val="ListBullet"/>
      </w:pPr>
      <w:r>
        <w:t>Social benefit comes from treating pedestrians, cyclists, autorickshaws, pushcarts, and animals as first class planning actors rather than edge cases.</w:t>
      </w:r>
    </w:p>
    <w:p>
      <w:pPr>
        <w:pStyle w:val="ListBullet"/>
      </w:pPr>
      <w:r>
        <w:t>Economic benefit comes from repeatable software in the loop testing that exposes failures before expensive vehicle trials and reuses standard MathWorks planning components.</w:t>
      </w:r>
    </w:p>
    <w:p>
      <w:pPr>
        <w:pStyle w:val="ListBullet"/>
      </w:pPr>
      <w:r>
        <w:t>Environmental benefit is indirect. Simulation can reduce unnecessary physical test runs, while near direct paths limit avoidable distance in the tested scenarios. Fuel and emissions were not measured.</w:t>
      </w:r>
    </w:p>
    <w:p>
      <w:pPr>
        <w:pStyle w:val="ListBullet"/>
      </w:pPr>
      <w:r>
        <w:t>Evidence includes five main scenarios, eight stress scenarios, no observed collisions, zero unsafe active path moving frames, thirteen validated videos, and thirty nine screenshots.</w:t>
      </w:r>
    </w:p>
    <w:p>
      <w:pPr>
        <w:pStyle w:val="Heading1"/>
      </w:pPr>
      <w:r>
        <w:t>Target Audience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52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Audience</w:t>
            </w:r>
          </w:p>
        </w:tc>
        <w:tc>
          <w:tcPr>
            <w:tcW w:type="dxa" w:w="331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Need</w:t>
            </w:r>
          </w:p>
        </w:tc>
        <w:tc>
          <w:tcPr>
            <w:tcW w:type="dxa" w:w="396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Project Benefit</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Automotive OEM and Tier 1 research teams</w:t>
            </w:r>
          </w:p>
        </w:tc>
        <w:tc>
          <w:tcPr>
            <w:tcW w:type="dxa" w:w="33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Evaluate planning behavior before vehicle integration.</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 modular governor can be placed above an existing planner and assessed with saved metrics and ablations.</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Autonomous mobility start ups</w:t>
            </w:r>
          </w:p>
        </w:tc>
        <w:tc>
          <w:tcPr>
            <w:tcW w:type="dxa" w:w="33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Prototype behavior for mixed and weakly structured traffic with limited development time.</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MATLAB based components and repeatable scenarios reduce integration effort during early development.</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Universities and student teams</w:t>
            </w:r>
          </w:p>
        </w:tc>
        <w:tc>
          <w:tcPr>
            <w:tcW w:type="dxa" w:w="33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Understand the relationship between perception uncertainty, tracking, planning, and control.</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source separates each stage and records intermediate values for explanation.</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Testing laboratories</w:t>
            </w:r>
          </w:p>
        </w:tc>
        <w:tc>
          <w:tcPr>
            <w:tcW w:type="dxa" w:w="33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Create reproducible disturbances and compare baselines.</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Eight controlled stress scenarios isolate confidence loss, detection loss, direction reversal, obstruction, and recovery behavior.</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 and mobility researchers</w:t>
            </w:r>
          </w:p>
        </w:tc>
        <w:tc>
          <w:tcPr>
            <w:tcW w:type="dxa" w:w="33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Study behavior around vulnerable and non standard road users.</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scenario set includes pedestrians, two wheelers, mixed market traffic, and cattle.</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Judges and non specialist reviewers</w:t>
            </w:r>
          </w:p>
        </w:tc>
        <w:tc>
          <w:tcPr>
            <w:tcW w:type="dxa" w:w="33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See why the vehicle slows, replans, or stops.</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Diagnostic views show dominant actor, confidence, risk, envelope size, state, path, physical speed, and target speed.</w:t>
            </w:r>
          </w:p>
        </w:tc>
      </w:tr>
    </w:tbl>
    <w:p>
      <w:pPr>
        <w:spacing w:after="40"/>
      </w:pPr>
    </w:p>
    <w:p>
      <w:pPr>
        <w:pStyle w:val="Heading1"/>
      </w:pPr>
      <w:r>
        <w:t>Measured Prototype Impact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95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Measure</w:t>
            </w:r>
          </w:p>
        </w:tc>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Result</w:t>
            </w:r>
          </w:p>
        </w:tc>
        <w:tc>
          <w:tcPr>
            <w:tcW w:type="dxa" w:w="446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Meaning</w:t>
            </w:r>
          </w:p>
        </w:tc>
      </w:tr>
      <w:tr>
        <w:trPr>
          <w:cantSplit w:val="true"/>
        </w:trPr>
        <w:tc>
          <w:tcPr>
            <w:tcW w:type="dxa" w:w="29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Main scenario coverage</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5 families</w:t>
            </w:r>
          </w:p>
        </w:tc>
        <w:tc>
          <w:tcPr>
            <w:tcW w:type="dxa" w:w="446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Village road, urban intersection, highway merge, dense market, and cattle crossing.</w:t>
            </w:r>
          </w:p>
        </w:tc>
      </w:tr>
      <w:tr>
        <w:trPr>
          <w:cantSplit w:val="true"/>
        </w:trPr>
        <w:tc>
          <w:tcPr>
            <w:tcW w:type="dxa" w:w="295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Observed collision free rate</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100 percent</w:t>
            </w:r>
          </w:p>
        </w:tc>
        <w:tc>
          <w:tcPr>
            <w:tcW w:type="dxa" w:w="446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collision occurred in the five deterministic main scenario runs.</w:t>
            </w:r>
          </w:p>
        </w:tc>
      </w:tr>
      <w:tr>
        <w:trPr>
          <w:cantSplit w:val="true"/>
        </w:trPr>
        <w:tc>
          <w:tcPr>
            <w:tcW w:type="dxa" w:w="29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Goal reach rate</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80 percent</w:t>
            </w:r>
          </w:p>
        </w:tc>
        <w:tc>
          <w:tcPr>
            <w:tcW w:type="dxa" w:w="446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Four of five reached the goal. The urban case ended safely after repeated planning failures.</w:t>
            </w:r>
          </w:p>
        </w:tc>
      </w:tr>
      <w:tr>
        <w:trPr>
          <w:cantSplit w:val="true"/>
        </w:trPr>
        <w:tc>
          <w:tcPr>
            <w:tcW w:type="dxa" w:w="295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Worst observed actor center distance</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7.009 m</w:t>
            </w:r>
          </w:p>
        </w:tc>
        <w:tc>
          <w:tcPr>
            <w:tcW w:type="dxa" w:w="446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Minimum center to center distance across the five main scenarios. This is not body clearance.</w:t>
            </w:r>
          </w:p>
        </w:tc>
      </w:tr>
      <w:tr>
        <w:trPr>
          <w:cantSplit w:val="true"/>
        </w:trPr>
        <w:tc>
          <w:tcPr>
            <w:tcW w:type="dxa" w:w="29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Robustness recovery</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100 percent across 8 disturbances</w:t>
            </w:r>
          </w:p>
        </w:tc>
        <w:tc>
          <w:tcPr>
            <w:tcW w:type="dxa" w:w="446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Every controlled disturbance met its defined recovery criterion.</w:t>
            </w:r>
          </w:p>
        </w:tc>
      </w:tr>
      <w:tr>
        <w:trPr>
          <w:cantSplit w:val="true"/>
        </w:trPr>
        <w:tc>
          <w:tcPr>
            <w:tcW w:type="dxa" w:w="295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Unsafe active path moving frames</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0</w:t>
            </w:r>
          </w:p>
        </w:tc>
        <w:tc>
          <w:tcPr>
            <w:tcW w:type="dxa" w:w="446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recorded benchmark or robustness frame continued moving on a path labeled unsafe.</w:t>
            </w:r>
          </w:p>
        </w:tc>
      </w:tr>
      <w:tr>
        <w:trPr>
          <w:cantSplit w:val="true"/>
        </w:trPr>
        <w:tc>
          <w:tcPr>
            <w:tcW w:type="dxa" w:w="29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Mean replanning latency</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30.06 ms</w:t>
            </w:r>
          </w:p>
        </w:tc>
        <w:tc>
          <w:tcPr>
            <w:tcW w:type="dxa" w:w="446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Pinned Phase 11 source on development hardware, compared with a 200 ms control period.</w:t>
            </w:r>
          </w:p>
        </w:tc>
      </w:tr>
      <w:tr>
        <w:trPr>
          <w:cantSplit w:val="true"/>
        </w:trPr>
        <w:tc>
          <w:tcPr>
            <w:tcW w:type="dxa" w:w="295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Mean ACARG overhead</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0.45 ms per frame</w:t>
            </w:r>
          </w:p>
        </w:tc>
        <w:tc>
          <w:tcPr>
            <w:tcW w:type="dxa" w:w="446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Incremental cost measured on replayed track records.</w:t>
            </w:r>
          </w:p>
        </w:tc>
      </w:tr>
      <w:tr>
        <w:trPr>
          <w:cantSplit w:val="true"/>
        </w:trPr>
        <w:tc>
          <w:tcPr>
            <w:tcW w:type="dxa" w:w="295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Visual evidence</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13 videos and 39 screenshots</w:t>
            </w:r>
          </w:p>
        </w:tc>
        <w:tc>
          <w:tcPr>
            <w:tcW w:type="dxa" w:w="446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Every final encoded video passed the video validation suite.</w:t>
            </w:r>
          </w:p>
        </w:tc>
      </w:tr>
    </w:tbl>
    <w:p>
      <w:pPr>
        <w:spacing w:after="40"/>
      </w:pPr>
    </w:p>
    <w:p>
      <w:pPr>
        <w:pStyle w:val="Heading1"/>
      </w:pPr>
      <w:r>
        <w:t>Scenario Level Value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59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Scenario</w:t>
            </w:r>
          </w:p>
        </w:tc>
        <w:tc>
          <w:tcPr>
            <w:tcW w:type="dxa" w:w="482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Demonstrated Value</w:t>
            </w:r>
          </w:p>
        </w:tc>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Outcome</w:t>
            </w:r>
          </w:p>
        </w:tc>
      </w:tr>
      <w:tr>
        <w:trPr>
          <w:cantSplit w:val="true"/>
        </w:trPr>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Unmarked Village Road</w:t>
            </w:r>
          </w:p>
        </w:tc>
        <w:tc>
          <w:tcPr>
            <w:tcW w:type="dxa" w:w="48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Planning proceeds without lane centerline dependence and adapts around a lateral road user.</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Goal reached without observed collision.</w:t>
            </w:r>
          </w:p>
        </w:tc>
      </w:tr>
      <w:tr>
        <w:trPr>
          <w:cantSplit w:val="true"/>
        </w:trPr>
        <w:tc>
          <w:tcPr>
            <w:tcW w:type="dxa" w:w="259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Unsignalized Urban Intersection</w:t>
            </w:r>
          </w:p>
        </w:tc>
        <w:tc>
          <w:tcPr>
            <w:tcW w:type="dxa" w:w="48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system rejects unsafe continuation when repeated replanning cannot produce a safe path.</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Safe termination without observed collision. Goal not reached.</w:t>
            </w:r>
          </w:p>
        </w:tc>
      </w:tr>
      <w:tr>
        <w:trPr>
          <w:cantSplit w:val="true"/>
        </w:trPr>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Highway Slow Vehicle Merge</w:t>
            </w:r>
          </w:p>
        </w:tc>
        <w:tc>
          <w:tcPr>
            <w:tcW w:type="dxa" w:w="48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Prediction and occupancy support safe motion around a speed differential.</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Goal reached without observed collision.</w:t>
            </w:r>
          </w:p>
        </w:tc>
      </w:tr>
      <w:tr>
        <w:trPr>
          <w:cantSplit w:val="true"/>
        </w:trPr>
        <w:tc>
          <w:tcPr>
            <w:tcW w:type="dxa" w:w="259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Dense Mixed Traffic Market</w:t>
            </w:r>
          </w:p>
        </w:tc>
        <w:tc>
          <w:tcPr>
            <w:tcW w:type="dxa" w:w="48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Several actor classes contribute to a shared risk and occupancy representation.</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Goal reached without observed collision.</w:t>
            </w:r>
          </w:p>
        </w:tc>
      </w:tr>
      <w:tr>
        <w:trPr>
          <w:cantSplit w:val="true"/>
        </w:trPr>
        <w:tc>
          <w:tcPr>
            <w:tcW w:type="dxa" w:w="259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Sudden Cattle Crossing</w:t>
            </w:r>
          </w:p>
        </w:tc>
        <w:tc>
          <w:tcPr>
            <w:tcW w:type="dxa" w:w="48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Risk escalates through CAUTIOUS to CONSERVATIVE STOP, then recovers and replans.</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Goal reached without observed collision.</w:t>
            </w:r>
          </w:p>
        </w:tc>
      </w:tr>
      <w:tr>
        <w:trPr>
          <w:cantSplit w:val="true"/>
        </w:trPr>
        <w:tc>
          <w:tcPr>
            <w:tcW w:type="dxa" w:w="259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Eight robustness disturbances</w:t>
            </w:r>
          </w:p>
        </w:tc>
        <w:tc>
          <w:tcPr>
            <w:tcW w:type="dxa" w:w="48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system handles sensing degradation, abrupt motion, multiple risks, obstruction, planner failure, and risk oscillation.</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All recovery criteria met. No observed collisions.</w:t>
            </w:r>
          </w:p>
        </w:tc>
      </w:tr>
    </w:tbl>
    <w:p>
      <w:pPr>
        <w:spacing w:after="40"/>
      </w:pPr>
    </w:p>
    <w:p>
      <w:pPr>
        <w:pStyle w:val="Heading1"/>
      </w:pPr>
      <w:r>
        <w:t>Baseline Comparison</w:t>
      </w:r>
    </w:p>
    <w:p>
      <w:r>
        <w:rPr>
          <w:rFonts w:ascii="Arial" w:hAnsi="Arial"/>
          <w:i w:val="0"/>
          <w:color w:val="000000"/>
          <w:sz w:val="22"/>
        </w:rPr>
        <w:t>The fixed margin baseline retains the planner, controller, actors, goals, timing, collision checks, and vehicle geometry while disabling adaptive envelope and governor control. This makes the comparison useful for demonstrating behavior, although it does not establish statistical superiority.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val="true"/>
        </w:trPr>
        <w:tc>
          <w:tcPr>
            <w:tcW w:type="dxa" w:w="194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Comparison</w:t>
            </w:r>
          </w:p>
        </w:tc>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ACARG Enhanced</w:t>
            </w:r>
          </w:p>
        </w:tc>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Fixed Margin Baseline</w:t>
            </w:r>
          </w:p>
        </w:tc>
        <w:tc>
          <w:tcPr>
            <w:tcW w:type="dxa" w:w="309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7"/>
              </w:rPr>
              <w:t>Interpretation</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Sudden cattle crossing</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Goal reached, 12.13 m minimum actor center distance, 8 replans</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Safe termination, 6.37 m minimum actor center distance, 7 replans</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Adaptive behavior preserved more center distance and completed this deterministic run.</w:t>
            </w:r>
          </w:p>
        </w:tc>
      </w:tr>
      <w:tr>
        <w:trPr>
          <w:cantSplit w:val="true"/>
        </w:trPr>
        <w:tc>
          <w:tcPr>
            <w:tcW w:type="dxa" w:w="19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Highway merge</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Goal in 17.2 s with 7 replans</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Goal in 13.8 s with 4 replans</w:t>
            </w:r>
          </w:p>
        </w:tc>
        <w:tc>
          <w:tcPr>
            <w:tcW w:type="dxa" w:w="309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Adaptive conservatism reduced efficiency in this run while both remained collision free.</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Dense market</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Goal in 22.6 s with 9 replans</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Goal in 19.6 s with 6 replans</w:t>
            </w:r>
          </w:p>
        </w:tc>
        <w:tc>
          <w:tcPr>
            <w:tcW w:type="dxa" w:w="309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ACARG accepted slower progress and more path changes. Minimum center distance was similar.</w:t>
            </w:r>
          </w:p>
        </w:tc>
      </w:tr>
      <w:tr>
        <w:trPr>
          <w:cantSplit w:val="true"/>
        </w:trPr>
        <w:tc>
          <w:tcPr>
            <w:tcW w:type="dxa" w:w="19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Urban intersection</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7"/>
              </w:rPr>
              <w:t>Safe termination</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7"/>
              </w:rPr>
              <w:t>Safe termination</w:t>
            </w:r>
          </w:p>
        </w:tc>
        <w:tc>
          <w:tcPr>
            <w:tcW w:type="dxa" w:w="309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7"/>
              </w:rPr>
              <w:t>Neither configuration found a safe goal reaching continuation in the tested setup.</w:t>
            </w:r>
          </w:p>
        </w:tc>
      </w:tr>
    </w:tbl>
    <w:p>
      <w:pPr>
        <w:spacing w:after="40"/>
      </w:pPr>
    </w:p>
    <w:p>
      <w:pPr>
        <w:pStyle w:val="Heading1"/>
      </w:pPr>
      <w:r>
        <w:t>Social Benefits</w:t>
      </w:r>
    </w:p>
    <w:p>
      <w:pPr>
        <w:pStyle w:val="ListBullet"/>
      </w:pPr>
      <w:r>
        <w:t>Makes vulnerable road users visible in the planning logic through dedicated classes, footprints, uncertainty, and conservative priorities.</w:t>
      </w:r>
    </w:p>
    <w:p>
      <w:pPr>
        <w:pStyle w:val="ListBullet"/>
      </w:pPr>
      <w:r>
        <w:t>Addresses road contexts that receive less attention in lane centered highway demonstrations, including unmarked roads, dense mixed traffic, and animal crossings.</w:t>
      </w:r>
    </w:p>
    <w:p>
      <w:pPr>
        <w:pStyle w:val="ListBullet"/>
      </w:pPr>
      <w:r>
        <w:t>Supports explainability by identifying the dominant actor and the evidence behind slowing, replanning, or stopping.</w:t>
      </w:r>
    </w:p>
    <w:p>
      <w:pPr>
        <w:pStyle w:val="ListBullet"/>
      </w:pPr>
      <w:r>
        <w:t>Encourages honest safety communication because the output distinguishes simulation results, physical speed, target speed, safe termination, and unresolved deployment gaps.</w:t>
      </w:r>
    </w:p>
    <w:p>
      <w:pPr>
        <w:pStyle w:val="Heading1"/>
      </w:pPr>
      <w:r>
        <w:t>Economic and Technical Benefits</w:t>
      </w:r>
    </w:p>
    <w:p>
      <w:pPr>
        <w:pStyle w:val="ListBullet"/>
      </w:pPr>
      <w:r>
        <w:t>Software in the loop faults can be reproduced at low marginal cost before committing vehicles, drivers, closed tracks, or high fidelity scene production.</w:t>
      </w:r>
    </w:p>
    <w:p>
      <w:pPr>
        <w:pStyle w:val="ListBullet"/>
      </w:pPr>
      <w:r>
        <w:t>The governor wraps a standard planner. Teams can reuse the planner while iterating on risk, confidence, and envelope policy.</w:t>
      </w:r>
    </w:p>
    <w:p>
      <w:pPr>
        <w:pStyle w:val="ListBullet"/>
      </w:pPr>
      <w:r>
        <w:t>Timestamped metrics and videos reduce manual evidence preparation and help compare configuration changes.</w:t>
      </w:r>
    </w:p>
    <w:p>
      <w:pPr>
        <w:pStyle w:val="ListBullet"/>
      </w:pPr>
      <w:r>
        <w:t>A portable local Kalman fallback reduces dependence on one release specific trackingKF constructor.</w:t>
      </w:r>
    </w:p>
    <w:p>
      <w:pPr>
        <w:pStyle w:val="ListBullet"/>
      </w:pPr>
      <w:r>
        <w:t>The IDD and RoadRunner boundaries are guarded, so unavailable tools or data remain explicit rather than creating misleading results.</w:t>
      </w:r>
    </w:p>
    <w:p>
      <w:pPr>
        <w:pStyle w:val="Heading1"/>
      </w:pPr>
      <w:r>
        <w:t>Environmental Benefits</w:t>
      </w:r>
    </w:p>
    <w:p>
      <w:r>
        <w:rPr>
          <w:rFonts w:ascii="Arial" w:hAnsi="Arial"/>
          <w:i w:val="0"/>
          <w:color w:val="000000"/>
          <w:sz w:val="22"/>
        </w:rPr>
        <w:t>The project does not measure fuel, energy, emissions, or lifecycle impact. Any environmental benefit is therefore indirect. Simulation and replay can reduce some physical test mileage during early development. The completed main scenarios also recorded path length to straight line ratios from about 1.005 to 1.020, which shows limited geometric detour in those runs. Those ratios do not establish energy savings because speed changes, braking, vehicle mass, road grade, and powertrain behavior were not modeled for emissions analysis.</w:t>
      </w:r>
    </w:p>
    <w:p>
      <w:pPr>
        <w:pStyle w:val="Heading1"/>
      </w:pPr>
      <w:r>
        <w:t>Impact Boundaries and Future Measures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367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Current Boundary</w:t>
            </w:r>
          </w:p>
        </w:tc>
        <w:tc>
          <w:tcPr>
            <w:tcW w:type="dxa" w:w="612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Future Impact Measure</w:t>
            </w:r>
          </w:p>
        </w:tc>
      </w:tr>
      <w:tr>
        <w:trPr>
          <w:cantSplit w:val="true"/>
        </w:trPr>
        <w:tc>
          <w:tcPr>
            <w:tcW w:type="dxa" w:w="36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Simulation only safety evidence</w:t>
            </w:r>
          </w:p>
        </w:tc>
        <w:tc>
          <w:tcPr>
            <w:tcW w:type="dxa" w:w="61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Collision and near miss rates over large randomized campaigns, followed by track and controlled road evidence.</w:t>
            </w:r>
          </w:p>
        </w:tc>
      </w:tr>
      <w:tr>
        <w:trPr>
          <w:cantSplit w:val="true"/>
        </w:trPr>
        <w:tc>
          <w:tcPr>
            <w:tcW w:type="dxa" w:w="367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Center to center actor distance</w:t>
            </w:r>
          </w:p>
        </w:tc>
        <w:tc>
          <w:tcPr>
            <w:tcW w:type="dxa" w:w="61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Physical body clearance and uncertainty adjusted separation using calibrated shapes and localization error.</w:t>
            </w:r>
          </w:p>
        </w:tc>
      </w:tr>
      <w:tr>
        <w:trPr>
          <w:cantSplit w:val="true"/>
        </w:trPr>
        <w:tc>
          <w:tcPr>
            <w:tcW w:type="dxa" w:w="36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Uncalibrated engineering risk score</w:t>
            </w:r>
          </w:p>
        </w:tc>
        <w:tc>
          <w:tcPr>
            <w:tcW w:type="dxa" w:w="61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Confidence calibration, prediction error, false positive and false negative effects, and risk threshold operating curves.</w:t>
            </w:r>
          </w:p>
        </w:tc>
      </w:tr>
      <w:tr>
        <w:trPr>
          <w:cantSplit w:val="true"/>
        </w:trPr>
        <w:tc>
          <w:tcPr>
            <w:tcW w:type="dxa" w:w="367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real perception result</w:t>
            </w:r>
          </w:p>
        </w:tc>
        <w:tc>
          <w:tcPr>
            <w:tcW w:type="dxa" w:w="61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Per class precision recall, AP, small object performance, temporal continuity, and metric state error on genuine data.</w:t>
            </w:r>
          </w:p>
        </w:tc>
      </w:tr>
      <w:tr>
        <w:trPr>
          <w:cantSplit w:val="true"/>
        </w:trPr>
        <w:tc>
          <w:tcPr>
            <w:tcW w:type="dxa" w:w="36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Development hardware timing</w:t>
            </w:r>
          </w:p>
        </w:tc>
        <w:tc>
          <w:tcPr>
            <w:tcW w:type="dxa" w:w="61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Worst case loop latency, deadline misses, CPU and memory load, and graceful degradation on target hardware.</w:t>
            </w:r>
          </w:p>
        </w:tc>
      </w:tr>
      <w:tr>
        <w:trPr>
          <w:cantSplit w:val="true"/>
        </w:trPr>
        <w:tc>
          <w:tcPr>
            <w:tcW w:type="dxa" w:w="367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economic estimate</w:t>
            </w:r>
          </w:p>
        </w:tc>
        <w:tc>
          <w:tcPr>
            <w:tcW w:type="dxa" w:w="61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Engineering hours saved, avoided track runs, compute cost, licensing cost, and total validation cost.</w:t>
            </w:r>
          </w:p>
        </w:tc>
      </w:tr>
      <w:tr>
        <w:trPr>
          <w:cantSplit w:val="true"/>
        </w:trPr>
        <w:tc>
          <w:tcPr>
            <w:tcW w:type="dxa" w:w="36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emissions estimate</w:t>
            </w:r>
          </w:p>
        </w:tc>
        <w:tc>
          <w:tcPr>
            <w:tcW w:type="dxa" w:w="61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Energy per kilometre, braking losses, route efficiency, and emissions under a validated powertrain model.</w:t>
            </w:r>
          </w:p>
        </w:tc>
      </w:tr>
    </w:tbl>
    <w:p>
      <w:pPr>
        <w:spacing w:after="40"/>
      </w:pPr>
    </w:p>
    <w:p>
      <w:pPr>
        <w:pStyle w:val="Heading1"/>
      </w:pPr>
      <w:r>
        <w:t>Impact Conclusion</w:t>
      </w:r>
    </w:p>
    <w:p>
      <w:r>
        <w:rPr>
          <w:rFonts w:ascii="Arial" w:hAnsi="Arial"/>
          <w:i w:val="0"/>
          <w:color w:val="000000"/>
          <w:sz w:val="22"/>
        </w:rPr>
        <w:t>The strongest demonstrated impact is a transparent and adaptive simulation framework for mixed traffic safety research. It shows how uncertainty and road user type can change margins and vehicle behavior while preserving a standard vehicle feasible planner. Broader social, economic, and environmental impact becomes credible only after genuine perception, target hardware, larger scenario campaigns, controlled vehicle testing, and measured deployment outcomes.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SIH26037  Presentation Content</w:t>
    </w:r>
    <w:r>
      <w:t xml:space="preserve">                                      </w:t>
    </w:r>
    <w:r>
      <w:rPr>
        <w:rFonts w:ascii="Arial" w:hAnsi="Arial"/>
        <w:color w:val="595959"/>
        <w:sz w:val="17"/>
      </w:rPr>
      <w:t xml:space="preserve">Page </w:t>
    </w:r>
    <w:r>
      <w:rPr>
        <w:rFonts w:ascii="Arial" w:hAnsi="Arial"/>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Bdr>
        <w:top w:val="nil"/>
        <w:left w:val="nil"/>
        <w:bottom w:val="nil"/>
        <w:right w:val="nil"/>
        <w:between w:val="nil"/>
        <w:bar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