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Research and References Content</w:t>
      </w:r>
    </w:p>
    <w:p>
      <w:pPr>
        <w:keepNext/>
        <w:spacing w:after="200"/>
      </w:pPr>
      <w:r>
        <w:rPr>
          <w:rFonts w:ascii="Arial" w:hAnsi="Arial"/>
          <w:color w:val="000000"/>
          <w:sz w:val="23"/>
        </w:rPr>
        <w:t>The project combines established work on unstructured road datasets, Kalman tracking, uncertainty aware occupancy, Hybrid A Star planning, Pure Pursuit control, and simulation based validation. The references below support the design choices without claiming that the project invented those underlying algorithms.</w:t>
      </w:r>
    </w:p>
    <w:p>
      <w:pPr>
        <w:spacing w:after="240"/>
      </w:pPr>
      <w:r>
        <w:rPr>
          <w:rFonts w:ascii="Arial" w:hAnsi="Arial"/>
          <w:b/>
          <w:color w:val="595959"/>
          <w:sz w:val="19"/>
        </w:rPr>
        <w:t>Project SIH26037   Smart India Hackathon 2026   Repository status 6 September 2026</w:t>
      </w:r>
    </w:p>
    <w:p>
      <w:pPr>
        <w:pStyle w:val="Heading1"/>
      </w:pPr>
      <w:r>
        <w:t>Slide Ready Content</w:t>
      </w:r>
    </w:p>
    <w:p>
      <w:pPr>
        <w:pStyle w:val="ListBullet"/>
      </w:pPr>
      <w:r>
        <w:t>India Driving Dataset research motivates perception and planning for road scenes where structured lane and traffic assumptions do not hold.</w:t>
      </w:r>
    </w:p>
    <w:p>
      <w:pPr>
        <w:pStyle w:val="ListBullet"/>
      </w:pPr>
      <w:r>
        <w:t>Hybrid A Star research and MathWorks documentation support vehicle feasible search in position and heading space with collision validation.</w:t>
      </w:r>
    </w:p>
    <w:p>
      <w:pPr>
        <w:pStyle w:val="ListBullet"/>
      </w:pPr>
      <w:r>
        <w:t>Kalman filter documentation supports recursive position and velocity estimation with propagated covariance.</w:t>
      </w:r>
    </w:p>
    <w:p>
      <w:pPr>
        <w:pStyle w:val="ListBullet"/>
      </w:pPr>
      <w:r>
        <w:t>Uncertainty aware motion planning research motivates using prediction uncertainty to enlarge obstacle occupancy and constrain planning.</w:t>
      </w:r>
    </w:p>
    <w:p>
      <w:pPr>
        <w:pStyle w:val="ListBullet"/>
      </w:pPr>
      <w:r>
        <w:t>Pure Pursuit research supports geometric path tracking, while the project adds bounded steering, acceleration, braking, and a kinematic bicycle update.</w:t>
      </w:r>
    </w:p>
    <w:p>
      <w:pPr>
        <w:pStyle w:val="ListBullet"/>
      </w:pPr>
      <w:r>
        <w:t>MathWorks RoadRunner and YOLOX documentation define the planned high fidelity scenario and genuine image perception extensions.</w:t>
      </w:r>
    </w:p>
    <w:p>
      <w:pPr>
        <w:pStyle w:val="Heading1"/>
      </w:pPr>
      <w:r>
        <w:t>Research Foundation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3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Project Decision</w:t>
            </w:r>
          </w:p>
        </w:tc>
        <w:tc>
          <w:tcPr>
            <w:tcW w:type="dxa" w:w="388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Research or Documentation Basis</w:t>
            </w:r>
          </w:p>
        </w:tc>
        <w:tc>
          <w:tcPr>
            <w:tcW w:type="dxa" w:w="352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Implementation Interpretation</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Focus on unstructured Indian roads</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IDD describes road scene understanding where assumptions common in structured driving datasets are not satisfied.</w:t>
            </w:r>
          </w:p>
        </w:tc>
        <w:tc>
          <w:tcPr>
            <w:tcW w:type="dxa" w:w="35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project includes unmarked roads, mixed traffic, vulnerable road users, and cattle, but does not claim that simulation reproduces the full IDD distribution.</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Track position velocity and covariance</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Linear Kalman filtering recursively predicts state and corrects it with measurements under a linear motion and measurement model.</w:t>
            </w:r>
          </w:p>
        </w:tc>
        <w:tc>
          <w:tcPr>
            <w:tcW w:type="dxa" w:w="35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project uses a two dimensional constant velocity state and carries covariance into risk and occupancy.</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Represent future obstacle extent</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Occupancy maps support collision free planning, while uncertainty aware planning literature treats predicted obstacle uncertainty as part of safety constraints.</w:t>
            </w:r>
          </w:p>
        </w:tc>
        <w:tc>
          <w:tcPr>
            <w:tcW w:type="dxa" w:w="35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project unions physical footprint and covariance based ellipses over a 1.5 second horizon.</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Use Hybrid A Star</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Hybrid A Star extends grid search with continuous vehicle pose and nonholonomic motion constraints.</w:t>
            </w:r>
          </w:p>
        </w:tc>
        <w:tc>
          <w:tcPr>
            <w:tcW w:type="dxa" w:w="35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implementation uses plannerHybridAStar in SE2 and validates against a vehicle inflated binary occupancy map.</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Use closest approach</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Predictive collision assessment literature combines future separation and time based conflict measures.</w:t>
            </w:r>
          </w:p>
        </w:tc>
        <w:tc>
          <w:tcPr>
            <w:tcW w:type="dxa" w:w="35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ACARG evaluates predicted minimum separation and two dimensional closest point of approach instead of relying on distance alone.</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Use Pure Pursuit</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Coulter provides the geometric derivation and implementation considerations for Pure Pursuit tracking.</w:t>
            </w:r>
          </w:p>
        </w:tc>
        <w:tc>
          <w:tcPr>
            <w:tcW w:type="dxa" w:w="35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controller selects a lookahead target and bounds steering and acceleration before a kinematic bicycle update.</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Validate through simulation and replay</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MathWorks supports scenario authoring, simulation, actor state logging, and video generation.</w:t>
            </w:r>
          </w:p>
        </w:tc>
        <w:tc>
          <w:tcPr>
            <w:tcW w:type="dxa" w:w="352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project creates deterministic scenarios, metrics, figures, and frame validated video evidence.</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Prepare a YOLOX extension</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MathWorks provides YOLOX construction, training, inference, and object detection evaluation APIs through required products.</w:t>
            </w:r>
          </w:p>
        </w:tc>
        <w:tc>
          <w:tcPr>
            <w:tcW w:type="dxa" w:w="352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code is guarded and ready for genuine data, but no model or accuracy result exists yet.</w:t>
            </w:r>
          </w:p>
        </w:tc>
      </w:tr>
    </w:tbl>
    <w:p>
      <w:pPr>
        <w:spacing w:after="40"/>
      </w:pPr>
    </w:p>
    <w:p>
      <w:pPr>
        <w:pStyle w:val="Heading1"/>
      </w:pPr>
      <w:r>
        <w:t>Academic and Dataset References</w:t>
      </w:r>
    </w:p>
    <w:p>
      <w:pPr>
        <w:ind w:left="259" w:hanging="259"/>
      </w:pPr>
      <w:r>
        <w:rPr>
          <w:rFonts w:ascii="Arial" w:hAnsi="Arial"/>
          <w:b/>
          <w:color w:val="000000"/>
          <w:sz w:val="22"/>
        </w:rPr>
        <w:t xml:space="preserve">1. </w:t>
      </w:r>
      <w:hyperlink r:id="rId10">
        <w:r>
          <w:rPr>
            <w:rFonts w:ascii="Arial" w:hAnsi="Arial"/>
            <w:color w:val="0563C1"/>
            <w:u w:val="single"/>
          </w:rPr>
          <w:t>Varma and colleagues  IDD A Dataset for Exploring Problems of Autonomous Navigation in Unconstrained Environments  WACV 2019</w:t>
        </w:r>
      </w:hyperlink>
      <w:r>
        <w:rPr>
          <w:rFonts w:ascii="Arial" w:hAnsi="Arial"/>
          <w:color w:val="000000"/>
          <w:sz w:val="22"/>
        </w:rPr>
        <w:t>. Primary dataset paper motivating unstructured Indian road scene understanding and reduced dependence on structured road assumptions.</w:t>
      </w:r>
    </w:p>
    <w:p>
      <w:pPr>
        <w:ind w:left="259" w:hanging="259"/>
      </w:pPr>
      <w:r>
        <w:rPr>
          <w:rFonts w:ascii="Arial" w:hAnsi="Arial"/>
          <w:b/>
          <w:color w:val="000000"/>
          <w:sz w:val="22"/>
        </w:rPr>
        <w:t xml:space="preserve">2. </w:t>
      </w:r>
      <w:hyperlink r:id="rId11">
        <w:r>
          <w:rPr>
            <w:rFonts w:ascii="Arial" w:hAnsi="Arial"/>
            <w:color w:val="0563C1"/>
            <w:u w:val="single"/>
          </w:rPr>
          <w:t>Official India Driving Dataset download portal</w:t>
        </w:r>
      </w:hyperlink>
      <w:r>
        <w:rPr>
          <w:rFonts w:ascii="Arial" w:hAnsi="Arial"/>
          <w:color w:val="000000"/>
          <w:sz w:val="22"/>
        </w:rPr>
        <w:t>. Authoritative access point for the licensed dataset. The project requires manual access and keeps the data outside the repository.</w:t>
      </w:r>
    </w:p>
    <w:p>
      <w:pPr>
        <w:ind w:left="259" w:hanging="259"/>
      </w:pPr>
      <w:r>
        <w:rPr>
          <w:rFonts w:ascii="Arial" w:hAnsi="Arial"/>
          <w:b/>
          <w:color w:val="000000"/>
          <w:sz w:val="22"/>
        </w:rPr>
        <w:t xml:space="preserve">3. </w:t>
      </w:r>
      <w:hyperlink r:id="rId12">
        <w:r>
          <w:rPr>
            <w:rFonts w:ascii="Arial" w:hAnsi="Arial"/>
            <w:color w:val="0563C1"/>
            <w:u w:val="single"/>
          </w:rPr>
          <w:t>AutoNUE public code repository</w:t>
        </w:r>
      </w:hyperlink>
      <w:r>
        <w:rPr>
          <w:rFonts w:ascii="Arial" w:hAnsi="Arial"/>
          <w:color w:val="000000"/>
          <w:sz w:val="22"/>
        </w:rPr>
        <w:t>. Official public code resource used to understand the expected IDD Detection organization and benchmark context.</w:t>
      </w:r>
    </w:p>
    <w:p>
      <w:pPr>
        <w:ind w:left="259" w:hanging="259"/>
      </w:pPr>
      <w:r>
        <w:rPr>
          <w:rFonts w:ascii="Arial" w:hAnsi="Arial"/>
          <w:b/>
          <w:color w:val="000000"/>
          <w:sz w:val="22"/>
        </w:rPr>
        <w:t xml:space="preserve">4. </w:t>
      </w:r>
      <w:hyperlink r:id="rId13">
        <w:r>
          <w:rPr>
            <w:rFonts w:ascii="Arial" w:hAnsi="Arial"/>
            <w:color w:val="0563C1"/>
            <w:u w:val="single"/>
          </w:rPr>
          <w:t>Dolgov Thrun Montemerlo and Diebel  Practical Search Techniques in Path Planning for Autonomous Driving</w:t>
        </w:r>
      </w:hyperlink>
      <w:r>
        <w:rPr>
          <w:rFonts w:ascii="Arial" w:hAnsi="Arial"/>
          <w:color w:val="000000"/>
          <w:sz w:val="22"/>
        </w:rPr>
        <w:t>. Foundational Hybrid A Star reference describing continuous vehicle state associated with a discretized search grid.</w:t>
      </w:r>
    </w:p>
    <w:p>
      <w:pPr>
        <w:ind w:left="259" w:hanging="259"/>
      </w:pPr>
      <w:r>
        <w:rPr>
          <w:rFonts w:ascii="Arial" w:hAnsi="Arial"/>
          <w:b/>
          <w:color w:val="000000"/>
          <w:sz w:val="22"/>
        </w:rPr>
        <w:t xml:space="preserve">5. </w:t>
      </w:r>
      <w:hyperlink r:id="rId14">
        <w:r>
          <w:rPr>
            <w:rFonts w:ascii="Arial" w:hAnsi="Arial"/>
            <w:color w:val="0563C1"/>
            <w:u w:val="single"/>
          </w:rPr>
          <w:t>Coulter  Implementation of the Pure Pursuit Path Tracking Algorithm  CMU RI TR 92 01</w:t>
        </w:r>
      </w:hyperlink>
      <w:r>
        <w:rPr>
          <w:rFonts w:ascii="Arial" w:hAnsi="Arial"/>
          <w:color w:val="000000"/>
          <w:sz w:val="22"/>
        </w:rPr>
        <w:t>. Primary technical report for the geometric path tracking method and its parameter sensitivities.</w:t>
      </w:r>
    </w:p>
    <w:p>
      <w:pPr>
        <w:ind w:left="259" w:hanging="259"/>
      </w:pPr>
      <w:r>
        <w:rPr>
          <w:rFonts w:ascii="Arial" w:hAnsi="Arial"/>
          <w:b/>
          <w:color w:val="000000"/>
          <w:sz w:val="22"/>
        </w:rPr>
        <w:t xml:space="preserve">6. </w:t>
      </w:r>
      <w:hyperlink r:id="rId15">
        <w:r>
          <w:rPr>
            <w:rFonts w:ascii="Arial" w:hAnsi="Arial"/>
            <w:color w:val="0563C1"/>
            <w:u w:val="single"/>
          </w:rPr>
          <w:t>Interaction Aware Motion Planning for Autonomous Vehicles With Multi Modal Obstacle Uncertainty Predictions  IEEE Transactions on Intelligent Vehicles</w:t>
        </w:r>
      </w:hyperlink>
      <w:r>
        <w:rPr>
          <w:rFonts w:ascii="Arial" w:hAnsi="Arial"/>
          <w:color w:val="000000"/>
          <w:sz w:val="22"/>
        </w:rPr>
        <w:t>. Peer reviewed evidence that trajectory uncertainty can inform obstacle occupancy and safety constraints in vehicle planning. The project uses a simpler constant velocity model and does not reproduce this paper's method.</w:t>
      </w:r>
    </w:p>
    <w:p>
      <w:pPr>
        <w:ind w:left="259" w:hanging="259"/>
      </w:pPr>
      <w:r>
        <w:rPr>
          <w:rFonts w:ascii="Arial" w:hAnsi="Arial"/>
          <w:b/>
          <w:color w:val="000000"/>
          <w:sz w:val="22"/>
        </w:rPr>
        <w:t xml:space="preserve">7. </w:t>
      </w:r>
      <w:hyperlink r:id="rId16">
        <w:r>
          <w:rPr>
            <w:rFonts w:ascii="Arial" w:hAnsi="Arial"/>
            <w:color w:val="0563C1"/>
            <w:u w:val="single"/>
          </w:rPr>
          <w:t>Safe Motion Planning for Autonomous Vehicles by Quantifying Uncertainties of Deep Learning Enabled Environment Perception</w:t>
        </w:r>
      </w:hyperlink>
      <w:r>
        <w:rPr>
          <w:rFonts w:ascii="Arial" w:hAnsi="Arial"/>
          <w:color w:val="000000"/>
          <w:sz w:val="22"/>
        </w:rPr>
        <w:t>. Research motivation for connecting perception uncertainty with risk bounded planning. The current completed project uses simulated metric detections rather than a trained detector.</w:t>
      </w:r>
    </w:p>
    <w:p>
      <w:pPr>
        <w:pStyle w:val="Heading1"/>
      </w:pPr>
      <w:r>
        <w:t>MathWorks Technical References</w:t>
      </w:r>
    </w:p>
    <w:p>
      <w:pPr>
        <w:ind w:left="259" w:hanging="259"/>
      </w:pPr>
      <w:r>
        <w:rPr>
          <w:rFonts w:ascii="Arial" w:hAnsi="Arial"/>
          <w:b/>
          <w:color w:val="000000"/>
          <w:sz w:val="22"/>
        </w:rPr>
        <w:t xml:space="preserve">8. </w:t>
      </w:r>
      <w:hyperlink r:id="rId17">
        <w:r>
          <w:rPr>
            <w:rFonts w:ascii="Arial" w:hAnsi="Arial"/>
            <w:color w:val="0563C1"/>
            <w:u w:val="single"/>
          </w:rPr>
          <w:t>drivingScenario documentation</w:t>
        </w:r>
      </w:hyperlink>
      <w:r>
        <w:rPr>
          <w:rFonts w:ascii="Arial" w:hAnsi="Arial"/>
          <w:color w:val="000000"/>
          <w:sz w:val="22"/>
        </w:rPr>
        <w:t>. Documents the programmable scenario object used to create roads, actors, trajectories, and time stepped simulations.</w:t>
      </w:r>
    </w:p>
    <w:p>
      <w:pPr>
        <w:ind w:left="259" w:hanging="259"/>
      </w:pPr>
      <w:r>
        <w:rPr>
          <w:rFonts w:ascii="Arial" w:hAnsi="Arial"/>
          <w:b/>
          <w:color w:val="000000"/>
          <w:sz w:val="22"/>
        </w:rPr>
        <w:t xml:space="preserve">9. </w:t>
      </w:r>
      <w:hyperlink r:id="rId18">
        <w:r>
          <w:rPr>
            <w:rFonts w:ascii="Arial" w:hAnsi="Arial"/>
            <w:color w:val="0563C1"/>
            <w:u w:val="single"/>
          </w:rPr>
          <w:t>trackingKF documentation</w:t>
        </w:r>
      </w:hyperlink>
      <w:r>
        <w:rPr>
          <w:rFonts w:ascii="Arial" w:hAnsi="Arial"/>
          <w:color w:val="000000"/>
          <w:sz w:val="22"/>
        </w:rPr>
        <w:t>. Documents the discrete time linear Kalman filter and its supported constant velocity models.</w:t>
      </w:r>
    </w:p>
    <w:p>
      <w:pPr>
        <w:ind w:left="259" w:hanging="259"/>
      </w:pPr>
      <w:r>
        <w:rPr>
          <w:rFonts w:ascii="Arial" w:hAnsi="Arial"/>
          <w:b/>
          <w:color w:val="000000"/>
          <w:sz w:val="22"/>
        </w:rPr>
        <w:t xml:space="preserve">10. </w:t>
      </w:r>
      <w:hyperlink r:id="rId19">
        <w:r>
          <w:rPr>
            <w:rFonts w:ascii="Arial" w:hAnsi="Arial"/>
            <w:color w:val="0563C1"/>
            <w:u w:val="single"/>
          </w:rPr>
          <w:t>Linear Kalman Filters documentation</w:t>
        </w:r>
      </w:hyperlink>
      <w:r>
        <w:rPr>
          <w:rFonts w:ascii="Arial" w:hAnsi="Arial"/>
          <w:color w:val="000000"/>
          <w:sz w:val="22"/>
        </w:rPr>
        <w:t>. Explains recursive prediction and correction for linear motion and measurement models.</w:t>
      </w:r>
    </w:p>
    <w:p>
      <w:pPr>
        <w:ind w:left="259" w:hanging="259"/>
      </w:pPr>
      <w:r>
        <w:rPr>
          <w:rFonts w:ascii="Arial" w:hAnsi="Arial"/>
          <w:b/>
          <w:color w:val="000000"/>
          <w:sz w:val="22"/>
        </w:rPr>
        <w:t xml:space="preserve">11. </w:t>
      </w:r>
      <w:hyperlink r:id="rId20">
        <w:r>
          <w:rPr>
            <w:rFonts w:ascii="Arial" w:hAnsi="Arial"/>
            <w:color w:val="0563C1"/>
            <w:u w:val="single"/>
          </w:rPr>
          <w:t>occupancyMap documentation</w:t>
        </w:r>
      </w:hyperlink>
      <w:r>
        <w:rPr>
          <w:rFonts w:ascii="Arial" w:hAnsi="Arial"/>
          <w:color w:val="000000"/>
          <w:sz w:val="22"/>
        </w:rPr>
        <w:t>. Describes two dimensional occupancy grids used in mapping, collision avoidance, and path planning.</w:t>
      </w:r>
    </w:p>
    <w:p>
      <w:pPr>
        <w:ind w:left="259" w:hanging="259"/>
      </w:pPr>
      <w:r>
        <w:rPr>
          <w:rFonts w:ascii="Arial" w:hAnsi="Arial"/>
          <w:b/>
          <w:color w:val="000000"/>
          <w:sz w:val="22"/>
        </w:rPr>
        <w:t xml:space="preserve">12. </w:t>
      </w:r>
      <w:hyperlink r:id="rId21">
        <w:r>
          <w:rPr>
            <w:rFonts w:ascii="Arial" w:hAnsi="Arial"/>
            <w:color w:val="0563C1"/>
            <w:u w:val="single"/>
          </w:rPr>
          <w:t>plannerHybridAStar documentation</w:t>
        </w:r>
      </w:hyperlink>
      <w:r>
        <w:rPr>
          <w:rFonts w:ascii="Arial" w:hAnsi="Arial"/>
          <w:color w:val="000000"/>
          <w:sz w:val="22"/>
        </w:rPr>
        <w:t>. Documents vehicle constrained Hybrid A Star planning in position and heading space and recommends map inflation for vehicle size.</w:t>
      </w:r>
    </w:p>
    <w:p>
      <w:pPr>
        <w:ind w:left="259" w:hanging="259"/>
      </w:pPr>
      <w:r>
        <w:rPr>
          <w:rFonts w:ascii="Arial" w:hAnsi="Arial"/>
          <w:b/>
          <w:color w:val="000000"/>
          <w:sz w:val="22"/>
        </w:rPr>
        <w:t xml:space="preserve">13. </w:t>
      </w:r>
      <w:hyperlink r:id="rId22">
        <w:r>
          <w:rPr>
            <w:rFonts w:ascii="Arial" w:hAnsi="Arial"/>
            <w:color w:val="0563C1"/>
            <w:u w:val="single"/>
          </w:rPr>
          <w:t>RoadRunner Scenario documentation</w:t>
        </w:r>
      </w:hyperlink>
      <w:r>
        <w:rPr>
          <w:rFonts w:ascii="Arial" w:hAnsi="Arial"/>
          <w:color w:val="000000"/>
          <w:sz w:val="22"/>
        </w:rPr>
        <w:t>. Defines scenario authoring, actor simulation, programmatic APIs, and MATLAB or Simulink integration. The project's runtime validation remains pending.</w:t>
      </w:r>
    </w:p>
    <w:p>
      <w:pPr>
        <w:ind w:left="259" w:hanging="259"/>
      </w:pPr>
      <w:r>
        <w:rPr>
          <w:rFonts w:ascii="Arial" w:hAnsi="Arial"/>
          <w:b/>
          <w:color w:val="000000"/>
          <w:sz w:val="22"/>
        </w:rPr>
        <w:t xml:space="preserve">14. </w:t>
      </w:r>
      <w:hyperlink r:id="rId23">
        <w:r>
          <w:rPr>
            <w:rFonts w:ascii="Arial" w:hAnsi="Arial"/>
            <w:color w:val="0563C1"/>
            <w:u w:val="single"/>
          </w:rPr>
          <w:t>trainYOLOXObjectDetector documentation</w:t>
        </w:r>
      </w:hyperlink>
      <w:r>
        <w:rPr>
          <w:rFonts w:ascii="Arial" w:hAnsi="Arial"/>
          <w:color w:val="000000"/>
          <w:sz w:val="22"/>
        </w:rPr>
        <w:t>. Defines the YOLOX training API and the required Automated Visual Inspection Library add on plus Deep Learning Toolbox.</w:t>
      </w:r>
    </w:p>
    <w:p>
      <w:pPr>
        <w:ind w:left="259" w:hanging="259"/>
      </w:pPr>
      <w:r>
        <w:rPr>
          <w:rFonts w:ascii="Arial" w:hAnsi="Arial"/>
          <w:b/>
          <w:color w:val="000000"/>
          <w:sz w:val="22"/>
        </w:rPr>
        <w:t xml:space="preserve">15. </w:t>
      </w:r>
      <w:hyperlink r:id="rId24">
        <w:r>
          <w:rPr>
            <w:rFonts w:ascii="Arial" w:hAnsi="Arial"/>
            <w:color w:val="0563C1"/>
            <w:u w:val="single"/>
          </w:rPr>
          <w:t>evaluateObjectDetection documentation</w:t>
        </w:r>
      </w:hyperlink>
      <w:r>
        <w:rPr>
          <w:rFonts w:ascii="Arial" w:hAnsi="Arial"/>
          <w:color w:val="000000"/>
          <w:sz w:val="22"/>
        </w:rPr>
        <w:t>. Defines evaluation of object detection results against labeled ground truth. The project will use this only after genuine trained predictions exist.</w:t>
      </w:r>
    </w:p>
    <w:p>
      <w:pPr>
        <w:ind w:left="259" w:hanging="259"/>
      </w:pPr>
      <w:r>
        <w:rPr>
          <w:rFonts w:ascii="Arial" w:hAnsi="Arial"/>
          <w:b/>
          <w:color w:val="000000"/>
          <w:sz w:val="22"/>
        </w:rPr>
        <w:t xml:space="preserve">16. </w:t>
      </w:r>
      <w:hyperlink r:id="rId25">
        <w:r>
          <w:rPr>
            <w:rFonts w:ascii="Arial" w:hAnsi="Arial"/>
            <w:color w:val="0563C1"/>
            <w:u w:val="single"/>
          </w:rPr>
          <w:t>VideoWriter documentation</w:t>
        </w:r>
      </w:hyperlink>
      <w:r>
        <w:rPr>
          <w:rFonts w:ascii="Arial" w:hAnsi="Arial"/>
          <w:color w:val="000000"/>
          <w:sz w:val="22"/>
        </w:rPr>
        <w:t>. Documents the MATLAB video export object used for the final scenario evidence.</w:t>
      </w:r>
    </w:p>
    <w:p>
      <w:pPr>
        <w:pStyle w:val="Heading1"/>
      </w:pPr>
      <w:r>
        <w:t>Repository Evidence References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41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Local Source</w:t>
            </w:r>
          </w:p>
        </w:tc>
        <w:tc>
          <w:tcPr>
            <w:tcW w:type="dxa" w:w="561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Content Used</w:t>
            </w:r>
          </w:p>
        </w:tc>
      </w:tr>
      <w:tr>
        <w:trPr>
          <w:cantSplit w:val="true"/>
        </w:trPr>
        <w:tc>
          <w:tcPr>
            <w:tcW w:type="dxa" w:w="41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README.md</w:t>
            </w:r>
          </w:p>
        </w:tc>
        <w:tc>
          <w:tcPr>
            <w:tcW w:type="dxa" w:w="561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Problem statement, high level project purpose, scenario list, requirements, and stated limitations.</w:t>
            </w:r>
          </w:p>
        </w:tc>
      </w:tr>
      <w:tr>
        <w:trPr>
          <w:cantSplit w:val="true"/>
        </w:trPr>
        <w:tc>
          <w:tcPr>
            <w:tcW w:type="dxa" w:w="41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config.m</w:t>
            </w:r>
          </w:p>
        </w:tc>
        <w:tc>
          <w:tcPr>
            <w:tcW w:type="dxa" w:w="561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Noise, tracking, occupancy, governor, planner, control, and RoadRunner configuration values.</w:t>
            </w:r>
          </w:p>
        </w:tc>
      </w:tr>
      <w:tr>
        <w:trPr>
          <w:cantSplit w:val="true"/>
        </w:trPr>
        <w:tc>
          <w:tcPr>
            <w:tcW w:type="dxa" w:w="41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governor and control folders</w:t>
            </w:r>
          </w:p>
        </w:tc>
        <w:tc>
          <w:tcPr>
            <w:tcW w:type="dxa" w:w="561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Implemented confidence, uncertainty, collision risk, class weight, state, replanning, controller, and dynamics logic.</w:t>
            </w:r>
          </w:p>
        </w:tc>
      </w:tr>
      <w:tr>
        <w:trPr>
          <w:cantSplit w:val="true"/>
        </w:trPr>
        <w:tc>
          <w:tcPr>
            <w:tcW w:type="dxa" w:w="41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results phase11 run 20260906 050810 702</w:t>
            </w:r>
          </w:p>
        </w:tc>
        <w:tc>
          <w:tcPr>
            <w:tcW w:type="dxa" w:w="561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Pinned headline metrics, scenario outcomes, baseline comparison, robustness evidence, and ablations used by final videos.</w:t>
            </w:r>
          </w:p>
        </w:tc>
      </w:tr>
      <w:tr>
        <w:trPr>
          <w:cantSplit w:val="true"/>
        </w:trPr>
        <w:tc>
          <w:tcPr>
            <w:tcW w:type="dxa" w:w="41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results phase12 phase12 6 audit PHASE12 6 AUDIT.md</w:t>
            </w:r>
          </w:p>
        </w:tc>
        <w:tc>
          <w:tcPr>
            <w:tcW w:type="dxa" w:w="561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Final video set, frame count, screenshots, validation status, RoadRunner boundary, IDD boundary, and regression summary.</w:t>
            </w:r>
          </w:p>
        </w:tc>
      </w:tr>
      <w:tr>
        <w:trPr>
          <w:cantSplit w:val="true"/>
        </w:trPr>
        <w:tc>
          <w:tcPr>
            <w:tcW w:type="dxa" w:w="41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results idd milestone1 MILESTONE1 AUDIT.md</w:t>
            </w:r>
          </w:p>
        </w:tc>
        <w:tc>
          <w:tcPr>
            <w:tcW w:type="dxa" w:w="561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Latest genuine data and YOLOX readiness status, executed schema tests, and remaining prerequisites.</w:t>
            </w:r>
          </w:p>
        </w:tc>
      </w:tr>
      <w:tr>
        <w:trPr>
          <w:cantSplit w:val="true"/>
        </w:trPr>
        <w:tc>
          <w:tcPr>
            <w:tcW w:type="dxa" w:w="41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perception idd README.md</w:t>
            </w:r>
          </w:p>
        </w:tc>
        <w:tc>
          <w:tcPr>
            <w:tcW w:type="dxa" w:w="561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IDD data handling, canonical image packet, split discipline, training guards, checkpoint policy, and planned evaluation.</w:t>
            </w:r>
          </w:p>
        </w:tc>
      </w:tr>
      <w:tr>
        <w:trPr>
          <w:cantSplit w:val="true"/>
        </w:trPr>
        <w:tc>
          <w:tcPr>
            <w:tcW w:type="dxa" w:w="41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roadrunner README.md and manifests</w:t>
            </w:r>
          </w:p>
        </w:tc>
        <w:tc>
          <w:tcPr>
            <w:tcW w:type="dxa" w:w="561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Supported platform requirement, coordinate convention, scene mapping, static checks, and runtime validation plan.</w:t>
            </w:r>
          </w:p>
        </w:tc>
      </w:tr>
    </w:tbl>
    <w:p>
      <w:pPr>
        <w:spacing w:after="40"/>
      </w:pPr>
    </w:p>
    <w:p>
      <w:pPr>
        <w:pStyle w:val="Heading1"/>
      </w:pPr>
      <w:r>
        <w:t>Evidence to Claim Mapping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73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Presentation Claim</w:t>
            </w:r>
          </w:p>
        </w:tc>
        <w:tc>
          <w:tcPr>
            <w:tcW w:type="dxa" w:w="432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Permitted Evidence</w:t>
            </w:r>
          </w:p>
        </w:tc>
        <w:tc>
          <w:tcPr>
            <w:tcW w:type="dxa" w:w="273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Required Qualification</w:t>
            </w:r>
          </w:p>
        </w:tc>
      </w:tr>
      <w:tr>
        <w:trPr>
          <w:cantSplit w:val="true"/>
        </w:trPr>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closed loop prototype avoids collision in tested scenarios</w:t>
            </w:r>
          </w:p>
        </w:tc>
        <w:tc>
          <w:tcPr>
            <w:tcW w:type="dxa" w:w="43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Five deterministic main runs and eight controlled robustness runs report no observed collision.</w:t>
            </w:r>
          </w:p>
        </w:tc>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Say tested deterministic simulation. Do not generalize to public roads.</w:t>
            </w:r>
          </w:p>
        </w:tc>
      </w:tr>
      <w:tr>
        <w:trPr>
          <w:cantSplit w:val="true"/>
        </w:trPr>
        <w:tc>
          <w:tcPr>
            <w:tcW w:type="dxa" w:w="27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ACARG adapts to confidence and actor class</w:t>
            </w:r>
          </w:p>
        </w:tc>
        <w:tc>
          <w:tcPr>
            <w:tcW w:type="dxa" w:w="43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Confidence, class, CPA, and adaptive envelope ablation tables plus scenario timelines.</w:t>
            </w:r>
          </w:p>
        </w:tc>
        <w:tc>
          <w:tcPr>
            <w:tcW w:type="dxa" w:w="27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Values are engineering scores and priors, not calibrated probabilities.</w:t>
            </w:r>
          </w:p>
        </w:tc>
      </w:tr>
      <w:tr>
        <w:trPr>
          <w:cantSplit w:val="true"/>
        </w:trPr>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 system can replan within the control period on average</w:t>
            </w:r>
          </w:p>
        </w:tc>
        <w:tc>
          <w:tcPr>
            <w:tcW w:type="dxa" w:w="43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Pinned mean replanning latency 30.06 ms against a 200 ms control period.</w:t>
            </w:r>
          </w:p>
        </w:tc>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Mean is not worst case. Maximum was 459.68 ms on development hardware.</w:t>
            </w:r>
          </w:p>
        </w:tc>
      </w:tr>
      <w:tr>
        <w:trPr>
          <w:cantSplit w:val="true"/>
        </w:trPr>
        <w:tc>
          <w:tcPr>
            <w:tcW w:type="dxa" w:w="27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Visual evidence is complete</w:t>
            </w:r>
          </w:p>
        </w:tc>
        <w:tc>
          <w:tcPr>
            <w:tcW w:type="dxa" w:w="43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Thirteen validated videos, thirty nine screenshots, and 3,200 decoded frames.</w:t>
            </w:r>
          </w:p>
        </w:tc>
        <w:tc>
          <w:tcPr>
            <w:tcW w:type="dxa" w:w="27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These are MATLAB simulation replays, not real camera or RoadRunner footage.</w:t>
            </w:r>
          </w:p>
        </w:tc>
      </w:tr>
      <w:tr>
        <w:trPr>
          <w:cantSplit w:val="true"/>
        </w:trPr>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IDD perception is integrated</w:t>
            </w:r>
          </w:p>
        </w:tc>
        <w:tc>
          <w:tcPr>
            <w:tcW w:type="dxa" w:w="43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Dataset independent parser, contracts, training wrapper, evaluation code, and 47 passing independent checks.</w:t>
            </w:r>
          </w:p>
        </w:tc>
        <w:tc>
          <w:tcPr>
            <w:tcW w:type="dxa" w:w="27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Genuine data parsing, model training, inference, and accuracy remain pending.</w:t>
            </w:r>
          </w:p>
        </w:tc>
      </w:tr>
      <w:tr>
        <w:trPr>
          <w:cantSplit w:val="true"/>
        </w:trPr>
        <w:tc>
          <w:tcPr>
            <w:tcW w:type="dxa" w:w="27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RoadRunner integration exists</w:t>
            </w:r>
          </w:p>
        </w:tc>
        <w:tc>
          <w:tcPr>
            <w:tcW w:type="dxa" w:w="43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Manifests, coordinate adapters, launch bridge, and twenty eight static checks.</w:t>
            </w:r>
          </w:p>
        </w:tc>
        <w:tc>
          <w:tcPr>
            <w:tcW w:type="dxa" w:w="27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Twelve runtime checks are skipped. No genuine RoadRunner runtime result exists.</w:t>
            </w:r>
          </w:p>
        </w:tc>
      </w:tr>
    </w:tbl>
    <w:p>
      <w:pPr>
        <w:spacing w:after="40"/>
      </w:pPr>
    </w:p>
    <w:p>
      <w:pPr>
        <w:pStyle w:val="Heading1"/>
      </w:pPr>
      <w:r>
        <w:t>Research Gaps and Next Studies</w:t>
      </w:r>
    </w:p>
    <w:p>
      <w:pPr>
        <w:pStyle w:val="ListBullet"/>
      </w:pPr>
      <w:r>
        <w:t>Calibrate class risk values using real trajectory and conflict data rather than retaining hand set priors.</w:t>
      </w:r>
    </w:p>
    <w:p>
      <w:pPr>
        <w:pStyle w:val="ListBullet"/>
      </w:pPr>
      <w:r>
        <w:t>Compare constant velocity prediction with interacting multiple model, nonlinear, and interaction aware predictors under abrupt motion.</w:t>
      </w:r>
    </w:p>
    <w:p>
      <w:pPr>
        <w:pStyle w:val="ListBullet"/>
      </w:pPr>
      <w:r>
        <w:t>Measure confidence calibration so detection confidence and covariance have interpretable error rates.</w:t>
      </w:r>
    </w:p>
    <w:p>
      <w:pPr>
        <w:pStyle w:val="ListBullet"/>
      </w:pPr>
      <w:r>
        <w:t>Connect genuine image detections to metric state through calibrated depth or sensor fusion before using closest approach.</w:t>
      </w:r>
    </w:p>
    <w:p>
      <w:pPr>
        <w:pStyle w:val="ListBullet"/>
      </w:pPr>
      <w:r>
        <w:t>Run large randomized scenario campaigns and report uncertainty intervals instead of relying only on deterministic runs.</w:t>
      </w:r>
    </w:p>
    <w:p>
      <w:pPr>
        <w:pStyle w:val="ListBullet"/>
      </w:pPr>
      <w:r>
        <w:t>Validate timing and graceful degradation on the intended embedded processor, including planner deadline misses.</w:t>
      </w:r>
    </w:p>
    <w:p>
      <w:pPr>
        <w:pStyle w:val="ListBullet"/>
      </w:pPr>
      <w:r>
        <w:t>Execute RoadRunner runtime scenes on a supported host and compare actor state correspondence with the canonical MATLAB representation.</w:t>
      </w:r>
    </w:p>
    <w:p>
      <w:pPr>
        <w:pStyle w:val="ListBullet"/>
      </w:pPr>
      <w:r>
        <w:t>Define an operational design domain and safety assurance plan before any controlled vehicle testing.</w:t>
      </w:r>
    </w:p>
    <w:p>
      <w:pPr>
        <w:pStyle w:val="Heading1"/>
      </w:pPr>
      <w:r>
        <w:t>Reference Use Boundary</w:t>
      </w:r>
    </w:p>
    <w:p>
      <w:r>
        <w:rPr>
          <w:rFonts w:ascii="Arial" w:hAnsi="Arial"/>
          <w:i w:val="0"/>
          <w:color w:val="000000"/>
          <w:sz w:val="22"/>
        </w:rPr>
        <w:t>The references establish that the component ideas are grounded in prior research and official product capabilities. They do not validate this project's class weights, thresholds, simulation outcomes, real time guarantees, trained perception, RoadRunner execution, or field safety. Those claims require the repository evidence and future experiments described above.</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5959"/>
        <w:sz w:val="17"/>
      </w:rPr>
      <w:t>SIH26037  Presentation Content</w:t>
    </w:r>
    <w:r>
      <w:t xml:space="preserve">                                      </w:t>
    </w:r>
    <w:r>
      <w:rPr>
        <w:rFonts w:ascii="Arial" w:hAnsi="Arial"/>
        <w:color w:val="595959"/>
        <w:sz w:val="17"/>
      </w:rPr>
      <w:t xml:space="preserve">Page </w:t>
    </w:r>
    <w:r>
      <w:rPr>
        <w:rFonts w:ascii="Arial" w:hAnsi="Arial"/>
        <w:color w:val="595959"/>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Bdr>
        <w:top w:val="nil"/>
        <w:left w:val="nil"/>
        <w:bottom w:val="nil"/>
        <w:right w:val="nil"/>
        <w:between w:val="nil"/>
        <w:bar w:val="nil"/>
      </w:pBdr>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dd.insaan.iiit.ac.in/media/publications/idd-650.pdf" TargetMode="External"/><Relationship Id="rId11" Type="http://schemas.openxmlformats.org/officeDocument/2006/relationships/hyperlink" Target="https://idd.insaan.iiit.ac.in/dataset/download/" TargetMode="External"/><Relationship Id="rId12" Type="http://schemas.openxmlformats.org/officeDocument/2006/relationships/hyperlink" Target="https://github.com/AutoNUE/public-code" TargetMode="External"/><Relationship Id="rId13" Type="http://schemas.openxmlformats.org/officeDocument/2006/relationships/hyperlink" Target="https://ai.stanford.edu/~ddolgov/papers/dolgov_gpp_stair08.pdf" TargetMode="External"/><Relationship Id="rId14" Type="http://schemas.openxmlformats.org/officeDocument/2006/relationships/hyperlink" Target="https://publications.ri.cmu.edu/implementation-of-the-pure-pursuit-path-tracking-algorithm" TargetMode="External"/><Relationship Id="rId15" Type="http://schemas.openxmlformats.org/officeDocument/2006/relationships/hyperlink" Target="https://ieeexplore.ieee.org/document/10247577" TargetMode="External"/><Relationship Id="rId16" Type="http://schemas.openxmlformats.org/officeDocument/2006/relationships/hyperlink" Target="https://ieeexplore.ieee.org/abstract/document/10195962" TargetMode="External"/><Relationship Id="rId17" Type="http://schemas.openxmlformats.org/officeDocument/2006/relationships/hyperlink" Target="https://www.mathworks.com/help/driving/ref/drivingscenario.html" TargetMode="External"/><Relationship Id="rId18" Type="http://schemas.openxmlformats.org/officeDocument/2006/relationships/hyperlink" Target="https://www.mathworks.com/help/fusion/ref/trackingkf.html" TargetMode="External"/><Relationship Id="rId19" Type="http://schemas.openxmlformats.org/officeDocument/2006/relationships/hyperlink" Target="https://www.mathworks.com/help/fusion/ug/linear-kalman-filters.html" TargetMode="External"/><Relationship Id="rId20" Type="http://schemas.openxmlformats.org/officeDocument/2006/relationships/hyperlink" Target="https://www.mathworks.com/help/nav/ref/occupancymap.html" TargetMode="External"/><Relationship Id="rId21" Type="http://schemas.openxmlformats.org/officeDocument/2006/relationships/hyperlink" Target="https://www.mathworks.com/help/nav/ref/plannerhybridastar.html" TargetMode="External"/><Relationship Id="rId22" Type="http://schemas.openxmlformats.org/officeDocument/2006/relationships/hyperlink" Target="https://www.mathworks.com/help/roadrunner-scenario/index.html" TargetMode="External"/><Relationship Id="rId23" Type="http://schemas.openxmlformats.org/officeDocument/2006/relationships/hyperlink" Target="https://www.mathworks.com/help/vision/ref/trainyoloxobjectdetector.html" TargetMode="External"/><Relationship Id="rId24" Type="http://schemas.openxmlformats.org/officeDocument/2006/relationships/hyperlink" Target="https://www.mathworks.com/help/vision/ref/evaluateobjectdetection.html" TargetMode="External"/><Relationship Id="rId25" Type="http://schemas.openxmlformats.org/officeDocument/2006/relationships/hyperlink" Target="https://www.mathworks.com/help/matlab/ref/videowri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