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br/>
        <w:br/>
        <w:t xml:space="preserve"/>
      </w:r>
    </w:p>
    <w:p>
      <w:pPr>
        <w:spacing w:after="120"/>
        <w:jc w:val="center"/>
      </w:pPr>
      <w:r>
        <w:rPr>
          <w:rFonts w:ascii="Calibri" w:cs="Calibri" w:eastAsia="Calibri" w:hAnsi="Calibri"/>
          <w:b/>
          <w:bCs/>
          <w:color w:val="1a1a2e"/>
          <w:sz w:val="52"/>
          <w:szCs w:val="52"/>
        </w:rPr>
        <w:t xml:space="preserve">Factory-to-Customer Shipping Route Efficiency Analysis</w:t>
      </w:r>
    </w:p>
    <w:p>
      <w:pPr>
        <w:spacing w:after="480"/>
        <w:jc w:val="center"/>
      </w:pPr>
      <w:r>
        <w:rPr>
          <w:rFonts w:ascii="Calibri" w:cs="Calibri" w:eastAsia="Calibri" w:hAnsi="Calibri"/>
          <w:b/>
          <w:bCs/>
          <w:color w:val="2563eb"/>
          <w:sz w:val="44"/>
          <w:szCs w:val="44"/>
        </w:rPr>
        <w:t xml:space="preserve">for Nassau Candy Distributor</w:t>
      </w:r>
    </w:p>
    <w:p>
      <w:pPr>
        <w:spacing w:after="200"/>
        <w:jc w:val="center"/>
      </w:pPr>
      <w:r>
        <w:rPr>
          <w:rFonts w:ascii="Calibri" w:cs="Calibri" w:eastAsia="Calibri" w:hAnsi="Calibri"/>
          <w:color w:val="555555"/>
          <w:sz w:val="30"/>
          <w:szCs w:val="30"/>
        </w:rPr>
        <w:t xml:space="preserve">Research Paper &amp; EDA Report</w:t>
      </w:r>
    </w:p>
    <w:p>
      <w:pPr>
        <w:spacing w:after="120"/>
        <w:jc w:val="center"/>
      </w:pPr>
      <w:r>
        <w:rPr>
          <w:rFonts w:ascii="Calibri" w:cs="Calibri" w:eastAsia="Calibri" w:hAnsi="Calibri"/>
          <w:color w:val="777777"/>
          <w:sz w:val="26"/>
          <w:szCs w:val="26"/>
        </w:rPr>
        <w:t xml:space="preserve">Unified Mentor Program – Data Analytics Fellowship</w:t>
      </w:r>
    </w:p>
    <w:p>
      <w:pPr>
        <w:spacing w:after="60"/>
        <w:jc w:val="center"/>
      </w:pPr>
      <w:r>
        <w:rPr>
          <w:rFonts w:ascii="Calibri" w:cs="Calibri" w:eastAsia="Calibri" w:hAnsi="Calibri"/>
          <w:sz w:val="26"/>
          <w:szCs w:val="26"/>
        </w:rPr>
        <w:t xml:space="preserve">Author: Aditya Gautam</w:t>
      </w:r>
    </w:p>
    <w:p>
      <w:pPr>
        <w:spacing w:after="60"/>
        <w:jc w:val="center"/>
      </w:pPr>
      <w:r>
        <w:rPr>
          <w:rFonts w:ascii="Calibri" w:cs="Calibri" w:eastAsia="Calibri" w:hAnsi="Calibri"/>
          <w:color w:val="777777"/>
          <w:sz w:val="22"/>
          <w:szCs w:val="22"/>
        </w:rPr>
        <w:t xml:space="preserve">BCA Graduate, Chhatrapati Shahu Ji Maharaj University, Kanpur</w:t>
      </w:r>
    </w:p>
    <w:p>
      <w:pPr>
        <w:spacing w:after="480"/>
        <w:jc w:val="center"/>
      </w:pPr>
      <w:r>
        <w:rPr>
          <w:rFonts w:ascii="Calibri" w:cs="Calibri" w:eastAsia="Calibri" w:hAnsi="Calibri"/>
          <w:color w:val="777777"/>
          <w:sz w:val="22"/>
          <w:szCs w:val="22"/>
        </w:rPr>
        <w:t xml:space="preserve">Date: June 2026</w:t>
      </w:r>
    </w:p>
    <w:p>
      <w:r>
        <w:br w:type="page"/>
      </w:r>
    </w:p>
    <w:p>
      <w:pPr>
        <w:pStyle w:val="Heading1"/>
        <w:spacing w:after="120" w:before="360"/>
      </w:pPr>
      <w:r>
        <w:t xml:space="preserve">Abstract</w:t>
      </w:r>
    </w:p>
    <w:p>
      <w:pPr>
        <w:spacing w:after="120"/>
        <w:jc w:val="both"/>
      </w:pPr>
      <w:r>
        <w:rPr>
          <w:rFonts w:ascii="Calibri" w:cs="Calibri" w:eastAsia="Calibri" w:hAnsi="Calibri"/>
          <w:sz w:val="24"/>
          <w:szCs w:val="24"/>
        </w:rPr>
        <w:t xml:space="preserve">This research paper presents a comprehensive analysis of factory-to-customer shipping route efficiency for Nassau Candy Distributor, a national candy distribution company operating across multiple US regions. The study analyzes 10,194 shipment records spanning five factories and 196 unique routes. Using a structured analytical methodology including data cleaning, feature engineering, route-level aggregation, efficiency benchmarking, geographic bottleneck identification, and ship mode comparison, this paper identifies key performance patterns and actionable recommendations for logistics optimization.</w:t>
      </w:r>
    </w:p>
    <w:p>
      <w:pPr>
        <w:spacing w:after="120"/>
        <w:jc w:val="both"/>
      </w:pPr>
      <w:r>
        <w:rPr>
          <w:rFonts w:ascii="Calibri" w:cs="Calibri" w:eastAsia="Calibri" w:hAnsi="Calibri"/>
          <w:sz w:val="24"/>
          <w:szCs w:val="24"/>
        </w:rPr>
        <w:t xml:space="preserve">Key findings reveal that Standard Class shipping carries the highest delay rate (22.48%), while Same Day and First Class maintain 0% delays. The Other Factory and Secret Factory demonstrate the highest route efficiency scores, while Sugar Shack routes show the weakest performance. Geographic analysis identifies Michigan, Arizona, and Tennessee as high-delay states requiring operational attention. A composite Route Efficiency Score (weighted 60% lead time, 40% delay frequency) was developed to rank all 196 routes, enabling data-driven logistics decision-making.</w:t>
      </w:r>
    </w:p>
    <w:p>
      <w:r>
        <w:br w:type="page"/>
      </w:r>
    </w:p>
    <w:p>
      <w:pPr>
        <w:pStyle w:val="Heading1"/>
        <w:spacing w:after="120" w:before="360"/>
      </w:pPr>
      <w:r>
        <w:t xml:space="preserve">1. Introduction</w:t>
      </w:r>
    </w:p>
    <w:p>
      <w:pPr>
        <w:pStyle w:val="Heading2"/>
        <w:spacing w:after="100" w:before="240"/>
      </w:pPr>
      <w:r>
        <w:t xml:space="preserve">1.1 Background and Context</w:t>
      </w:r>
    </w:p>
    <w:p>
      <w:pPr>
        <w:spacing w:after="120"/>
        <w:jc w:val="both"/>
      </w:pPr>
      <w:r>
        <w:rPr>
          <w:rFonts w:ascii="Calibri" w:cs="Calibri" w:eastAsia="Calibri" w:hAnsi="Calibri"/>
          <w:sz w:val="24"/>
          <w:szCs w:val="24"/>
        </w:rPr>
        <w:t xml:space="preserve">Nassau Candy Distributor operates as a national distributor, shipping confectionery products from five specialized factories to customers spread across multiple US states and regions. As a high-volume distributor handling products ranging from Wonka Bars to Everlasting Gobstoppers and Laffy Taffy, logistics efficiency directly determines customer satisfaction, operational cost, and competitive advantage.</w:t>
      </w:r>
    </w:p>
    <w:p>
      <w:pPr>
        <w:spacing w:after="120"/>
        <w:jc w:val="both"/>
      </w:pPr>
      <w:r>
        <w:rPr>
          <w:rFonts w:ascii="Calibri" w:cs="Calibri" w:eastAsia="Calibri" w:hAnsi="Calibri"/>
          <w:sz w:val="24"/>
          <w:szCs w:val="24"/>
        </w:rPr>
        <w:t xml:space="preserve">Despite rich historical order and shipment data, logistics decisions have historically been made without route-level efficiency intelligence. Shipping efficiency directly affects customer satisfaction, delays increase operational costs, and inefficient routes reduce scalability. This project addresses that gap by transforming raw order data into actionable route-level operational intelligence.</w:t>
      </w:r>
    </w:p>
    <w:p>
      <w:pPr>
        <w:pStyle w:val="Heading2"/>
        <w:spacing w:after="100" w:before="240"/>
      </w:pPr>
      <w:r>
        <w:t xml:space="preserve">1.2 Problem Statement</w:t>
      </w:r>
    </w:p>
    <w:p>
      <w:pPr>
        <w:spacing w:after="120"/>
        <w:jc w:val="both"/>
      </w:pPr>
      <w:r>
        <w:rPr>
          <w:rFonts w:ascii="Calibri" w:cs="Calibri" w:eastAsia="Calibri" w:hAnsi="Calibri"/>
          <w:sz w:val="24"/>
          <w:szCs w:val="24"/>
        </w:rPr>
        <w:t xml:space="preserve">The organization currently lacks clarity on four critical questions:</w:t>
      </w:r>
    </w:p>
    <w:p>
      <w:pPr>
        <w:pStyle w:val="ListParagraph"/>
        <w:numPr>
          <w:ilvl w:val="0"/>
          <w:numId w:val="1"/>
        </w:numPr>
        <w:spacing w:after="60"/>
      </w:pPr>
      <w:r>
        <w:rPr>
          <w:rFonts w:ascii="Calibri" w:cs="Calibri" w:eastAsia="Calibri" w:hAnsi="Calibri"/>
          <w:sz w:val="24"/>
          <w:szCs w:val="24"/>
        </w:rPr>
        <w:t xml:space="preserve">Which factory-to-customer routes are consistently efficient</w:t>
      </w:r>
    </w:p>
    <w:p>
      <w:pPr>
        <w:pStyle w:val="ListParagraph"/>
        <w:numPr>
          <w:ilvl w:val="0"/>
          <w:numId w:val="1"/>
        </w:numPr>
        <w:spacing w:after="60"/>
      </w:pPr>
      <w:r>
        <w:rPr>
          <w:rFonts w:ascii="Calibri" w:cs="Calibri" w:eastAsia="Calibri" w:hAnsi="Calibri"/>
          <w:sz w:val="24"/>
          <w:szCs w:val="24"/>
        </w:rPr>
        <w:t xml:space="preserve">Which routes experience frequent delays and why</w:t>
      </w:r>
    </w:p>
    <w:p>
      <w:pPr>
        <w:pStyle w:val="ListParagraph"/>
        <w:numPr>
          <w:ilvl w:val="0"/>
          <w:numId w:val="1"/>
        </w:numPr>
        <w:spacing w:after="60"/>
      </w:pPr>
      <w:r>
        <w:rPr>
          <w:rFonts w:ascii="Calibri" w:cs="Calibri" w:eastAsia="Calibri" w:hAnsi="Calibri"/>
          <w:sz w:val="24"/>
          <w:szCs w:val="24"/>
        </w:rPr>
        <w:t xml:space="preserve">How shipping performance varies by region, state, and ship mode</w:t>
      </w:r>
    </w:p>
    <w:p>
      <w:pPr>
        <w:pStyle w:val="ListParagraph"/>
        <w:numPr>
          <w:ilvl w:val="0"/>
          <w:numId w:val="1"/>
        </w:numPr>
        <w:spacing w:after="60"/>
      </w:pPr>
      <w:r>
        <w:rPr>
          <w:rFonts w:ascii="Calibri" w:cs="Calibri" w:eastAsia="Calibri" w:hAnsi="Calibri"/>
          <w:sz w:val="24"/>
          <w:szCs w:val="24"/>
        </w:rPr>
        <w:t xml:space="preserve">Where operational bottlenecks exist geographically</w:t>
      </w:r>
    </w:p>
    <w:p>
      <w:pPr>
        <w:spacing w:after="120"/>
        <w:jc w:val="both"/>
      </w:pPr>
      <w:r>
        <w:rPr>
          <w:rFonts w:ascii="Calibri" w:cs="Calibri" w:eastAsia="Calibri" w:hAnsi="Calibri"/>
          <w:sz w:val="24"/>
          <w:szCs w:val="24"/>
        </w:rPr>
        <w:t xml:space="preserve">Without this visibility, logistics optimization remains reactive rather than data-driven, leading to suboptimal resource allocation and preventable customer dissatisfaction.</w:t>
      </w:r>
    </w:p>
    <w:p>
      <w:pPr>
        <w:pStyle w:val="Heading2"/>
        <w:spacing w:after="100" w:before="240"/>
      </w:pPr>
      <w:r>
        <w:t xml:space="preserve">1.3 Research Objectives</w:t>
      </w:r>
    </w:p>
    <w:p>
      <w:pPr>
        <w:pStyle w:val="ListParagraph"/>
        <w:numPr>
          <w:ilvl w:val="0"/>
          <w:numId w:val="1"/>
        </w:numPr>
        <w:spacing w:after="60"/>
      </w:pPr>
      <w:r>
        <w:rPr>
          <w:rFonts w:ascii="Calibri" w:cs="Calibri" w:eastAsia="Calibri" w:hAnsi="Calibri"/>
          <w:sz w:val="24"/>
          <w:szCs w:val="24"/>
        </w:rPr>
        <w:t xml:space="preserve">Perform end-to-end data cleaning and validation on the raw shipment dataset</w:t>
      </w:r>
    </w:p>
    <w:p>
      <w:pPr>
        <w:pStyle w:val="ListParagraph"/>
        <w:numPr>
          <w:ilvl w:val="0"/>
          <w:numId w:val="1"/>
        </w:numPr>
        <w:spacing w:after="60"/>
      </w:pPr>
      <w:r>
        <w:rPr>
          <w:rFonts w:ascii="Calibri" w:cs="Calibri" w:eastAsia="Calibri" w:hAnsi="Calibri"/>
          <w:sz w:val="24"/>
          <w:szCs w:val="24"/>
        </w:rPr>
        <w:t xml:space="preserve">Engineer shipping lead time and route-level features from raw order data</w:t>
      </w:r>
    </w:p>
    <w:p>
      <w:pPr>
        <w:pStyle w:val="ListParagraph"/>
        <w:numPr>
          <w:ilvl w:val="0"/>
          <w:numId w:val="1"/>
        </w:numPr>
        <w:spacing w:after="60"/>
      </w:pPr>
      <w:r>
        <w:rPr>
          <w:rFonts w:ascii="Calibri" w:cs="Calibri" w:eastAsia="Calibri" w:hAnsi="Calibri"/>
          <w:sz w:val="24"/>
          <w:szCs w:val="24"/>
        </w:rPr>
        <w:t xml:space="preserve">Develop a composite Route Efficiency Score for ranking 196 routes</w:t>
      </w:r>
    </w:p>
    <w:p>
      <w:pPr>
        <w:pStyle w:val="ListParagraph"/>
        <w:numPr>
          <w:ilvl w:val="0"/>
          <w:numId w:val="1"/>
        </w:numPr>
        <w:spacing w:after="60"/>
      </w:pPr>
      <w:r>
        <w:rPr>
          <w:rFonts w:ascii="Calibri" w:cs="Calibri" w:eastAsia="Calibri" w:hAnsi="Calibri"/>
          <w:sz w:val="24"/>
          <w:szCs w:val="24"/>
        </w:rPr>
        <w:t xml:space="preserve">Identify geographic bottlenecks and high-delay states</w:t>
      </w:r>
    </w:p>
    <w:p>
      <w:pPr>
        <w:pStyle w:val="ListParagraph"/>
        <w:numPr>
          <w:ilvl w:val="0"/>
          <w:numId w:val="1"/>
        </w:numPr>
        <w:spacing w:after="60"/>
      </w:pPr>
      <w:r>
        <w:rPr>
          <w:rFonts w:ascii="Calibri" w:cs="Calibri" w:eastAsia="Calibri" w:hAnsi="Calibri"/>
          <w:sz w:val="24"/>
          <w:szCs w:val="24"/>
        </w:rPr>
        <w:t xml:space="preserve">Compare performance across four shipping modes</w:t>
      </w:r>
    </w:p>
    <w:p>
      <w:pPr>
        <w:pStyle w:val="ListParagraph"/>
        <w:numPr>
          <w:ilvl w:val="0"/>
          <w:numId w:val="1"/>
        </w:numPr>
        <w:spacing w:after="60"/>
      </w:pPr>
      <w:r>
        <w:rPr>
          <w:rFonts w:ascii="Calibri" w:cs="Calibri" w:eastAsia="Calibri" w:hAnsi="Calibri"/>
          <w:sz w:val="24"/>
          <w:szCs w:val="24"/>
        </w:rPr>
        <w:t xml:space="preserve">Deliver actionable recommendations for logistics optimization</w:t>
      </w:r>
    </w:p>
    <w:p>
      <w:r>
        <w:br w:type="page"/>
      </w:r>
    </w:p>
    <w:p>
      <w:pPr>
        <w:pStyle w:val="Heading1"/>
        <w:spacing w:after="120" w:before="360"/>
      </w:pPr>
      <w:r>
        <w:t xml:space="preserve">2. Dataset Description</w:t>
      </w:r>
    </w:p>
    <w:p>
      <w:pPr>
        <w:pStyle w:val="Heading2"/>
        <w:spacing w:after="100" w:before="240"/>
      </w:pPr>
      <w:r>
        <w:t xml:space="preserve">2.1 Data Source</w:t>
      </w:r>
    </w:p>
    <w:p>
      <w:pPr>
        <w:spacing w:after="120"/>
        <w:jc w:val="both"/>
      </w:pPr>
      <w:r>
        <w:rPr>
          <w:rFonts w:ascii="Calibri" w:cs="Calibri" w:eastAsia="Calibri" w:hAnsi="Calibri"/>
          <w:sz w:val="24"/>
          <w:szCs w:val="24"/>
        </w:rPr>
        <w:t xml:space="preserve">The dataset was provided by the Unified Mentor Program as part of the Factory-to-Customer Shipping Route Efficiency Analysis project for Nassau Candy Distributor. It contains transactional shipment records exported from an internal logistics management system.</w:t>
      </w:r>
    </w:p>
    <w:p>
      <w:pPr>
        <w:pStyle w:val="Heading2"/>
        <w:spacing w:after="100" w:before="240"/>
      </w:pPr>
      <w:r>
        <w:t xml:space="preserve">2.2 Dataset Overview</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rPr>
          <w:tblHeader/>
        </w:trPr>
        <w:tc>
          <w:tcPr>
            <w:tcW w:type="dxa" w:w="3000"/>
            <w:shd w:fill="1a1a2e" w:color="ffffff" w:val="clear"/>
          </w:tcPr>
          <w:p>
            <w:pPr>
              <w:jc w:val="center"/>
            </w:pPr>
            <w:r>
              <w:rPr>
                <w:rFonts w:ascii="Calibri" w:cs="Calibri" w:eastAsia="Calibri" w:hAnsi="Calibri"/>
                <w:b/>
                <w:bCs/>
                <w:color w:val="FFFFFF"/>
                <w:sz w:val="22"/>
                <w:szCs w:val="22"/>
              </w:rPr>
              <w:t xml:space="preserve">Attribute</w:t>
            </w:r>
          </w:p>
        </w:tc>
        <w:tc>
          <w:tcPr>
            <w:tcW w:type="dxa" w:w="5640"/>
            <w:shd w:fill="1a1a2e" w:color="ffffff" w:val="clear"/>
          </w:tcPr>
          <w:p>
            <w:pPr>
              <w:jc w:val="center"/>
            </w:pPr>
            <w:r>
              <w:rPr>
                <w:rFonts w:ascii="Calibri" w:cs="Calibri" w:eastAsia="Calibri" w:hAnsi="Calibri"/>
                <w:b/>
                <w:bCs/>
                <w:color w:val="FFFFFF"/>
                <w:sz w:val="22"/>
                <w:szCs w:val="22"/>
              </w:rPr>
              <w:t xml:space="preserve">Value</w:t>
            </w:r>
          </w:p>
        </w:tc>
      </w:tr>
      <w:tr>
        <w:tc>
          <w:tcPr>
            <w:tcW w:type="dxa" w:w="3000"/>
          </w:tcPr>
          <w:p>
            <w:pPr>
              <w:jc w:val="center"/>
            </w:pPr>
            <w:r>
              <w:rPr>
                <w:rFonts w:ascii="Calibri" w:cs="Calibri" w:eastAsia="Calibri" w:hAnsi="Calibri"/>
                <w:sz w:val="22"/>
                <w:szCs w:val="22"/>
              </w:rPr>
              <w:t xml:space="preserve">Total Records</w:t>
            </w:r>
          </w:p>
        </w:tc>
        <w:tc>
          <w:tcPr>
            <w:tcW w:type="dxa" w:w="5640"/>
          </w:tcPr>
          <w:p>
            <w:pPr>
              <w:jc w:val="center"/>
            </w:pPr>
            <w:r>
              <w:rPr>
                <w:rFonts w:ascii="Calibri" w:cs="Calibri" w:eastAsia="Calibri" w:hAnsi="Calibri"/>
                <w:sz w:val="22"/>
                <w:szCs w:val="22"/>
              </w:rPr>
              <w:t xml:space="preserve">10,194 rows</w:t>
            </w:r>
          </w:p>
        </w:tc>
      </w:tr>
      <w:tr>
        <w:tc>
          <w:tcPr>
            <w:tcW w:type="dxa" w:w="3000"/>
            <w:shd w:fill="EEF2FF" w:color="000000" w:val="clear"/>
          </w:tcPr>
          <w:p>
            <w:pPr>
              <w:jc w:val="center"/>
            </w:pPr>
            <w:r>
              <w:rPr>
                <w:rFonts w:ascii="Calibri" w:cs="Calibri" w:eastAsia="Calibri" w:hAnsi="Calibri"/>
                <w:sz w:val="22"/>
                <w:szCs w:val="22"/>
              </w:rPr>
              <w:t xml:space="preserve">Total Features</w:t>
            </w:r>
          </w:p>
        </w:tc>
        <w:tc>
          <w:tcPr>
            <w:tcW w:type="dxa" w:w="5640"/>
            <w:shd w:fill="EEF2FF" w:color="000000" w:val="clear"/>
          </w:tcPr>
          <w:p>
            <w:pPr>
              <w:jc w:val="center"/>
            </w:pPr>
            <w:r>
              <w:rPr>
                <w:rFonts w:ascii="Calibri" w:cs="Calibri" w:eastAsia="Calibri" w:hAnsi="Calibri"/>
                <w:sz w:val="22"/>
                <w:szCs w:val="22"/>
              </w:rPr>
              <w:t xml:space="preserve">18 columns</w:t>
            </w:r>
          </w:p>
        </w:tc>
      </w:tr>
      <w:tr>
        <w:tc>
          <w:tcPr>
            <w:tcW w:type="dxa" w:w="3000"/>
          </w:tcPr>
          <w:p>
            <w:pPr>
              <w:jc w:val="center"/>
            </w:pPr>
            <w:r>
              <w:rPr>
                <w:rFonts w:ascii="Calibri" w:cs="Calibri" w:eastAsia="Calibri" w:hAnsi="Calibri"/>
                <w:sz w:val="22"/>
                <w:szCs w:val="22"/>
              </w:rPr>
              <w:t xml:space="preserve">Date Range</w:t>
            </w:r>
          </w:p>
        </w:tc>
        <w:tc>
          <w:tcPr>
            <w:tcW w:type="dxa" w:w="5640"/>
          </w:tcPr>
          <w:p>
            <w:pPr>
              <w:jc w:val="center"/>
            </w:pPr>
            <w:r>
              <w:rPr>
                <w:rFonts w:ascii="Calibri" w:cs="Calibri" w:eastAsia="Calibri" w:hAnsi="Calibri"/>
                <w:sz w:val="22"/>
                <w:szCs w:val="22"/>
              </w:rPr>
              <w:t xml:space="preserve">2014 – 2018 (Order Date)</w:t>
            </w:r>
          </w:p>
        </w:tc>
      </w:tr>
      <w:tr>
        <w:tc>
          <w:tcPr>
            <w:tcW w:type="dxa" w:w="3000"/>
            <w:shd w:fill="EEF2FF" w:color="000000" w:val="clear"/>
          </w:tcPr>
          <w:p>
            <w:pPr>
              <w:jc w:val="center"/>
            </w:pPr>
            <w:r>
              <w:rPr>
                <w:rFonts w:ascii="Calibri" w:cs="Calibri" w:eastAsia="Calibri" w:hAnsi="Calibri"/>
                <w:sz w:val="22"/>
                <w:szCs w:val="22"/>
              </w:rPr>
              <w:t xml:space="preserve">Missing Values</w:t>
            </w:r>
          </w:p>
        </w:tc>
        <w:tc>
          <w:tcPr>
            <w:tcW w:type="dxa" w:w="5640"/>
            <w:shd w:fill="EEF2FF" w:color="000000" w:val="clear"/>
          </w:tcPr>
          <w:p>
            <w:pPr>
              <w:jc w:val="center"/>
            </w:pPr>
            <w:r>
              <w:rPr>
                <w:rFonts w:ascii="Calibri" w:cs="Calibri" w:eastAsia="Calibri" w:hAnsi="Calibri"/>
                <w:sz w:val="22"/>
                <w:szCs w:val="22"/>
              </w:rPr>
              <w:t xml:space="preserve">0 (none)</w:t>
            </w:r>
          </w:p>
        </w:tc>
      </w:tr>
      <w:tr>
        <w:tc>
          <w:tcPr>
            <w:tcW w:type="dxa" w:w="3000"/>
          </w:tcPr>
          <w:p>
            <w:pPr>
              <w:jc w:val="center"/>
            </w:pPr>
            <w:r>
              <w:rPr>
                <w:rFonts w:ascii="Calibri" w:cs="Calibri" w:eastAsia="Calibri" w:hAnsi="Calibri"/>
                <w:sz w:val="22"/>
                <w:szCs w:val="22"/>
              </w:rPr>
              <w:t xml:space="preserve">Duplicate Rows</w:t>
            </w:r>
          </w:p>
        </w:tc>
        <w:tc>
          <w:tcPr>
            <w:tcW w:type="dxa" w:w="5640"/>
          </w:tcPr>
          <w:p>
            <w:pPr>
              <w:jc w:val="center"/>
            </w:pPr>
            <w:r>
              <w:rPr>
                <w:rFonts w:ascii="Calibri" w:cs="Calibri" w:eastAsia="Calibri" w:hAnsi="Calibri"/>
                <w:sz w:val="22"/>
                <w:szCs w:val="22"/>
              </w:rPr>
              <w:t xml:space="preserve">0</w:t>
            </w:r>
          </w:p>
        </w:tc>
      </w:tr>
      <w:tr>
        <w:tc>
          <w:tcPr>
            <w:tcW w:type="dxa" w:w="3000"/>
            <w:shd w:fill="EEF2FF" w:color="000000" w:val="clear"/>
          </w:tcPr>
          <w:p>
            <w:pPr>
              <w:jc w:val="center"/>
            </w:pPr>
            <w:r>
              <w:rPr>
                <w:rFonts w:ascii="Calibri" w:cs="Calibri" w:eastAsia="Calibri" w:hAnsi="Calibri"/>
                <w:sz w:val="22"/>
                <w:szCs w:val="22"/>
              </w:rPr>
              <w:t xml:space="preserve">Factories</w:t>
            </w:r>
          </w:p>
        </w:tc>
        <w:tc>
          <w:tcPr>
            <w:tcW w:type="dxa" w:w="5640"/>
            <w:shd w:fill="EEF2FF" w:color="000000" w:val="clear"/>
          </w:tcPr>
          <w:p>
            <w:pPr>
              <w:jc w:val="center"/>
            </w:pPr>
            <w:r>
              <w:rPr>
                <w:rFonts w:ascii="Calibri" w:cs="Calibri" w:eastAsia="Calibri" w:hAnsi="Calibri"/>
                <w:sz w:val="22"/>
                <w:szCs w:val="22"/>
              </w:rPr>
              <w:t xml:space="preserve">5</w:t>
            </w:r>
          </w:p>
        </w:tc>
      </w:tr>
      <w:tr>
        <w:tc>
          <w:tcPr>
            <w:tcW w:type="dxa" w:w="3000"/>
          </w:tcPr>
          <w:p>
            <w:pPr>
              <w:jc w:val="center"/>
            </w:pPr>
            <w:r>
              <w:rPr>
                <w:rFonts w:ascii="Calibri" w:cs="Calibri" w:eastAsia="Calibri" w:hAnsi="Calibri"/>
                <w:sz w:val="22"/>
                <w:szCs w:val="22"/>
              </w:rPr>
              <w:t xml:space="preserve">Unique Routes (Factory→State)</w:t>
            </w:r>
          </w:p>
        </w:tc>
        <w:tc>
          <w:tcPr>
            <w:tcW w:type="dxa" w:w="5640"/>
          </w:tcPr>
          <w:p>
            <w:pPr>
              <w:jc w:val="center"/>
            </w:pPr>
            <w:r>
              <w:rPr>
                <w:rFonts w:ascii="Calibri" w:cs="Calibri" w:eastAsia="Calibri" w:hAnsi="Calibri"/>
                <w:sz w:val="22"/>
                <w:szCs w:val="22"/>
              </w:rPr>
              <w:t xml:space="preserve">196</w:t>
            </w:r>
          </w:p>
        </w:tc>
      </w:tr>
      <w:tr>
        <w:tc>
          <w:tcPr>
            <w:tcW w:type="dxa" w:w="3000"/>
            <w:shd w:fill="EEF2FF" w:color="000000" w:val="clear"/>
          </w:tcPr>
          <w:p>
            <w:pPr>
              <w:jc w:val="center"/>
            </w:pPr>
            <w:r>
              <w:rPr>
                <w:rFonts w:ascii="Calibri" w:cs="Calibri" w:eastAsia="Calibri" w:hAnsi="Calibri"/>
                <w:sz w:val="22"/>
                <w:szCs w:val="22"/>
              </w:rPr>
              <w:t xml:space="preserve">Regions</w:t>
            </w:r>
          </w:p>
        </w:tc>
        <w:tc>
          <w:tcPr>
            <w:tcW w:type="dxa" w:w="5640"/>
            <w:shd w:fill="EEF2FF" w:color="000000" w:val="clear"/>
          </w:tcPr>
          <w:p>
            <w:pPr>
              <w:jc w:val="center"/>
            </w:pPr>
            <w:r>
              <w:rPr>
                <w:rFonts w:ascii="Calibri" w:cs="Calibri" w:eastAsia="Calibri" w:hAnsi="Calibri"/>
                <w:sz w:val="22"/>
                <w:szCs w:val="22"/>
              </w:rPr>
              <w:t xml:space="preserve">4 (Atlantic, Gulf, Interior, Pacific)</w:t>
            </w:r>
          </w:p>
        </w:tc>
      </w:tr>
      <w:tr>
        <w:tc>
          <w:tcPr>
            <w:tcW w:type="dxa" w:w="3000"/>
          </w:tcPr>
          <w:p>
            <w:pPr>
              <w:jc w:val="center"/>
            </w:pPr>
            <w:r>
              <w:rPr>
                <w:rFonts w:ascii="Calibri" w:cs="Calibri" w:eastAsia="Calibri" w:hAnsi="Calibri"/>
                <w:sz w:val="22"/>
                <w:szCs w:val="22"/>
              </w:rPr>
              <w:t xml:space="preserve">Ship Modes</w:t>
            </w:r>
          </w:p>
        </w:tc>
        <w:tc>
          <w:tcPr>
            <w:tcW w:type="dxa" w:w="5640"/>
          </w:tcPr>
          <w:p>
            <w:pPr>
              <w:jc w:val="center"/>
            </w:pPr>
            <w:r>
              <w:rPr>
                <w:rFonts w:ascii="Calibri" w:cs="Calibri" w:eastAsia="Calibri" w:hAnsi="Calibri"/>
                <w:sz w:val="22"/>
                <w:szCs w:val="22"/>
              </w:rPr>
              <w:t xml:space="preserve">4</w:t>
            </w:r>
          </w:p>
        </w:tc>
      </w:tr>
    </w:tbl>
    <w:p>
      <w:pPr>
        <w:spacing w:after="200"/>
      </w:pPr>
    </w:p>
    <w:p>
      <w:pPr>
        <w:pStyle w:val="Heading2"/>
        <w:spacing w:after="100" w:before="240"/>
      </w:pPr>
      <w:r>
        <w:t xml:space="preserve">2.3 Field Descriptions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140"/>
      </w:tblGrid>
      <w:tr>
        <w:trPr>
          <w:tblHeader/>
        </w:trPr>
        <w:tc>
          <w:tcPr>
            <w:tcW w:type="dxa" w:w="2000"/>
            <w:shd w:fill="1a1a2e" w:color="ffffff" w:val="clear"/>
          </w:tcPr>
          <w:p>
            <w:pPr>
              <w:jc w:val="center"/>
            </w:pPr>
            <w:r>
              <w:rPr>
                <w:rFonts w:ascii="Calibri" w:cs="Calibri" w:eastAsia="Calibri" w:hAnsi="Calibri"/>
                <w:b/>
                <w:bCs/>
                <w:color w:val="FFFFFF"/>
                <w:sz w:val="22"/>
                <w:szCs w:val="22"/>
              </w:rPr>
              <w:t xml:space="preserve">Field</w:t>
            </w:r>
          </w:p>
        </w:tc>
        <w:tc>
          <w:tcPr>
            <w:tcW w:type="dxa" w:w="2500"/>
            <w:shd w:fill="1a1a2e" w:color="ffffff" w:val="clear"/>
          </w:tcPr>
          <w:p>
            <w:pPr>
              <w:jc w:val="center"/>
            </w:pPr>
            <w:r>
              <w:rPr>
                <w:rFonts w:ascii="Calibri" w:cs="Calibri" w:eastAsia="Calibri" w:hAnsi="Calibri"/>
                <w:b/>
                <w:bCs/>
                <w:color w:val="FFFFFF"/>
                <w:sz w:val="22"/>
                <w:szCs w:val="22"/>
              </w:rPr>
              <w:t xml:space="preserve">Type</w:t>
            </w:r>
          </w:p>
        </w:tc>
        <w:tc>
          <w:tcPr>
            <w:tcW w:type="dxa" w:w="4140"/>
            <w:shd w:fill="1a1a2e" w:color="ffffff" w:val="clear"/>
          </w:tcPr>
          <w:p>
            <w:pPr>
              <w:jc w:val="center"/>
            </w:pPr>
            <w:r>
              <w:rPr>
                <w:rFonts w:ascii="Calibri" w:cs="Calibri" w:eastAsia="Calibri" w:hAnsi="Calibri"/>
                <w:b/>
                <w:bCs/>
                <w:color w:val="FFFFFF"/>
                <w:sz w:val="22"/>
                <w:szCs w:val="22"/>
              </w:rPr>
              <w:t xml:space="preserve">Description</w:t>
            </w:r>
          </w:p>
        </w:tc>
      </w:tr>
      <w:tr>
        <w:tc>
          <w:tcPr>
            <w:tcW w:type="dxa" w:w="2000"/>
          </w:tcPr>
          <w:p>
            <w:pPr>
              <w:jc w:val="center"/>
            </w:pPr>
            <w:r>
              <w:rPr>
                <w:rFonts w:ascii="Calibri" w:cs="Calibri" w:eastAsia="Calibri" w:hAnsi="Calibri"/>
                <w:sz w:val="22"/>
                <w:szCs w:val="22"/>
              </w:rPr>
              <w:t xml:space="preserve">Row ID</w:t>
            </w:r>
          </w:p>
        </w:tc>
        <w:tc>
          <w:tcPr>
            <w:tcW w:type="dxa" w:w="2500"/>
          </w:tcPr>
          <w:p>
            <w:pPr>
              <w:jc w:val="center"/>
            </w:pPr>
            <w:r>
              <w:rPr>
                <w:rFonts w:ascii="Calibri" w:cs="Calibri" w:eastAsia="Calibri" w:hAnsi="Calibri"/>
                <w:sz w:val="22"/>
                <w:szCs w:val="22"/>
              </w:rPr>
              <w:t xml:space="preserve">Integer</w:t>
            </w:r>
          </w:p>
        </w:tc>
        <w:tc>
          <w:tcPr>
            <w:tcW w:type="dxa" w:w="4140"/>
          </w:tcPr>
          <w:p>
            <w:pPr>
              <w:jc w:val="center"/>
            </w:pPr>
            <w:r>
              <w:rPr>
                <w:rFonts w:ascii="Calibri" w:cs="Calibri" w:eastAsia="Calibri" w:hAnsi="Calibri"/>
                <w:sz w:val="22"/>
                <w:szCs w:val="22"/>
              </w:rPr>
              <w:t xml:space="preserve">Unique row identifier</w:t>
            </w:r>
          </w:p>
        </w:tc>
      </w:tr>
      <w:tr>
        <w:tc>
          <w:tcPr>
            <w:tcW w:type="dxa" w:w="2000"/>
            <w:shd w:fill="EEF2FF" w:color="000000" w:val="clear"/>
          </w:tcPr>
          <w:p>
            <w:pPr>
              <w:jc w:val="center"/>
            </w:pPr>
            <w:r>
              <w:rPr>
                <w:rFonts w:ascii="Calibri" w:cs="Calibri" w:eastAsia="Calibri" w:hAnsi="Calibri"/>
                <w:sz w:val="22"/>
                <w:szCs w:val="22"/>
              </w:rPr>
              <w:t xml:space="preserve">Order ID</w:t>
            </w:r>
          </w:p>
        </w:tc>
        <w:tc>
          <w:tcPr>
            <w:tcW w:type="dxa" w:w="2500"/>
            <w:shd w:fill="EEF2FF" w:color="000000" w:val="clear"/>
          </w:tcPr>
          <w:p>
            <w:pPr>
              <w:jc w:val="center"/>
            </w:pPr>
            <w:r>
              <w:rPr>
                <w:rFonts w:ascii="Calibri" w:cs="Calibri" w:eastAsia="Calibri" w:hAnsi="Calibri"/>
                <w:sz w:val="22"/>
                <w:szCs w:val="22"/>
              </w:rPr>
              <w:t xml:space="preserve">String</w:t>
            </w:r>
          </w:p>
        </w:tc>
        <w:tc>
          <w:tcPr>
            <w:tcW w:type="dxa" w:w="4140"/>
            <w:shd w:fill="EEF2FF" w:color="000000" w:val="clear"/>
          </w:tcPr>
          <w:p>
            <w:pPr>
              <w:jc w:val="center"/>
            </w:pPr>
            <w:r>
              <w:rPr>
                <w:rFonts w:ascii="Calibri" w:cs="Calibri" w:eastAsia="Calibri" w:hAnsi="Calibri"/>
                <w:sz w:val="22"/>
                <w:szCs w:val="22"/>
              </w:rPr>
              <w:t xml:space="preserve">Unique order identifier</w:t>
            </w:r>
          </w:p>
        </w:tc>
      </w:tr>
      <w:tr>
        <w:tc>
          <w:tcPr>
            <w:tcW w:type="dxa" w:w="2000"/>
          </w:tcPr>
          <w:p>
            <w:pPr>
              <w:jc w:val="center"/>
            </w:pPr>
            <w:r>
              <w:rPr>
                <w:rFonts w:ascii="Calibri" w:cs="Calibri" w:eastAsia="Calibri" w:hAnsi="Calibri"/>
                <w:sz w:val="22"/>
                <w:szCs w:val="22"/>
              </w:rPr>
              <w:t xml:space="preserve">Order Date</w:t>
            </w:r>
          </w:p>
        </w:tc>
        <w:tc>
          <w:tcPr>
            <w:tcW w:type="dxa" w:w="2500"/>
          </w:tcPr>
          <w:p>
            <w:pPr>
              <w:jc w:val="center"/>
            </w:pPr>
            <w:r>
              <w:rPr>
                <w:rFonts w:ascii="Calibri" w:cs="Calibri" w:eastAsia="Calibri" w:hAnsi="Calibri"/>
                <w:sz w:val="22"/>
                <w:szCs w:val="22"/>
              </w:rPr>
              <w:t xml:space="preserve">Date (DD-MM-YYYY)</w:t>
            </w:r>
          </w:p>
        </w:tc>
        <w:tc>
          <w:tcPr>
            <w:tcW w:type="dxa" w:w="4140"/>
          </w:tcPr>
          <w:p>
            <w:pPr>
              <w:jc w:val="center"/>
            </w:pPr>
            <w:r>
              <w:rPr>
                <w:rFonts w:ascii="Calibri" w:cs="Calibri" w:eastAsia="Calibri" w:hAnsi="Calibri"/>
                <w:sz w:val="22"/>
                <w:szCs w:val="22"/>
              </w:rPr>
              <w:t xml:space="preserve">Date the order was placed</w:t>
            </w:r>
          </w:p>
        </w:tc>
      </w:tr>
      <w:tr>
        <w:tc>
          <w:tcPr>
            <w:tcW w:type="dxa" w:w="2000"/>
            <w:shd w:fill="EEF2FF" w:color="000000" w:val="clear"/>
          </w:tcPr>
          <w:p>
            <w:pPr>
              <w:jc w:val="center"/>
            </w:pPr>
            <w:r>
              <w:rPr>
                <w:rFonts w:ascii="Calibri" w:cs="Calibri" w:eastAsia="Calibri" w:hAnsi="Calibri"/>
                <w:sz w:val="22"/>
                <w:szCs w:val="22"/>
              </w:rPr>
              <w:t xml:space="preserve">Ship Date</w:t>
            </w:r>
          </w:p>
        </w:tc>
        <w:tc>
          <w:tcPr>
            <w:tcW w:type="dxa" w:w="2500"/>
            <w:shd w:fill="EEF2FF" w:color="000000" w:val="clear"/>
          </w:tcPr>
          <w:p>
            <w:pPr>
              <w:jc w:val="center"/>
            </w:pPr>
            <w:r>
              <w:rPr>
                <w:rFonts w:ascii="Calibri" w:cs="Calibri" w:eastAsia="Calibri" w:hAnsi="Calibri"/>
                <w:sz w:val="22"/>
                <w:szCs w:val="22"/>
              </w:rPr>
              <w:t xml:space="preserve">Date (DD-MM-YYYY)</w:t>
            </w:r>
          </w:p>
        </w:tc>
        <w:tc>
          <w:tcPr>
            <w:tcW w:type="dxa" w:w="4140"/>
            <w:shd w:fill="EEF2FF" w:color="000000" w:val="clear"/>
          </w:tcPr>
          <w:p>
            <w:pPr>
              <w:jc w:val="center"/>
            </w:pPr>
            <w:r>
              <w:rPr>
                <w:rFonts w:ascii="Calibri" w:cs="Calibri" w:eastAsia="Calibri" w:hAnsi="Calibri"/>
                <w:sz w:val="22"/>
                <w:szCs w:val="22"/>
              </w:rPr>
              <w:t xml:space="preserve">Date the order was shipped</w:t>
            </w:r>
          </w:p>
        </w:tc>
      </w:tr>
      <w:tr>
        <w:tc>
          <w:tcPr>
            <w:tcW w:type="dxa" w:w="2000"/>
          </w:tcPr>
          <w:p>
            <w:pPr>
              <w:jc w:val="center"/>
            </w:pPr>
            <w:r>
              <w:rPr>
                <w:rFonts w:ascii="Calibri" w:cs="Calibri" w:eastAsia="Calibri" w:hAnsi="Calibri"/>
                <w:sz w:val="22"/>
                <w:szCs w:val="22"/>
              </w:rPr>
              <w:t xml:space="preserve">Ship Mode</w:t>
            </w:r>
          </w:p>
        </w:tc>
        <w:tc>
          <w:tcPr>
            <w:tcW w:type="dxa" w:w="2500"/>
          </w:tcPr>
          <w:p>
            <w:pPr>
              <w:jc w:val="center"/>
            </w:pPr>
            <w:r>
              <w:rPr>
                <w:rFonts w:ascii="Calibri" w:cs="Calibri" w:eastAsia="Calibri" w:hAnsi="Calibri"/>
                <w:sz w:val="22"/>
                <w:szCs w:val="22"/>
              </w:rPr>
              <w:t xml:space="preserve">Categorical</w:t>
            </w:r>
          </w:p>
        </w:tc>
        <w:tc>
          <w:tcPr>
            <w:tcW w:type="dxa" w:w="4140"/>
          </w:tcPr>
          <w:p>
            <w:pPr>
              <w:jc w:val="center"/>
            </w:pPr>
            <w:r>
              <w:rPr>
                <w:rFonts w:ascii="Calibri" w:cs="Calibri" w:eastAsia="Calibri" w:hAnsi="Calibri"/>
                <w:sz w:val="22"/>
                <w:szCs w:val="22"/>
              </w:rPr>
              <w:t xml:space="preserve">Shipping method (First Class, Standard Class, etc.)</w:t>
            </w:r>
          </w:p>
        </w:tc>
      </w:tr>
      <w:tr>
        <w:tc>
          <w:tcPr>
            <w:tcW w:type="dxa" w:w="2000"/>
            <w:shd w:fill="EEF2FF" w:color="000000" w:val="clear"/>
          </w:tcPr>
          <w:p>
            <w:pPr>
              <w:jc w:val="center"/>
            </w:pPr>
            <w:r>
              <w:rPr>
                <w:rFonts w:ascii="Calibri" w:cs="Calibri" w:eastAsia="Calibri" w:hAnsi="Calibri"/>
                <w:sz w:val="22"/>
                <w:szCs w:val="22"/>
              </w:rPr>
              <w:t xml:space="preserve">Customer ID</w:t>
            </w:r>
          </w:p>
        </w:tc>
        <w:tc>
          <w:tcPr>
            <w:tcW w:type="dxa" w:w="2500"/>
            <w:shd w:fill="EEF2FF" w:color="000000" w:val="clear"/>
          </w:tcPr>
          <w:p>
            <w:pPr>
              <w:jc w:val="center"/>
            </w:pPr>
            <w:r>
              <w:rPr>
                <w:rFonts w:ascii="Calibri" w:cs="Calibri" w:eastAsia="Calibri" w:hAnsi="Calibri"/>
                <w:sz w:val="22"/>
                <w:szCs w:val="22"/>
              </w:rPr>
              <w:t xml:space="preserve">Integer</w:t>
            </w:r>
          </w:p>
        </w:tc>
        <w:tc>
          <w:tcPr>
            <w:tcW w:type="dxa" w:w="4140"/>
            <w:shd w:fill="EEF2FF" w:color="000000" w:val="clear"/>
          </w:tcPr>
          <w:p>
            <w:pPr>
              <w:jc w:val="center"/>
            </w:pPr>
            <w:r>
              <w:rPr>
                <w:rFonts w:ascii="Calibri" w:cs="Calibri" w:eastAsia="Calibri" w:hAnsi="Calibri"/>
                <w:sz w:val="22"/>
                <w:szCs w:val="22"/>
              </w:rPr>
              <w:t xml:space="preserve">Unique customer identifier</w:t>
            </w:r>
          </w:p>
        </w:tc>
      </w:tr>
      <w:tr>
        <w:tc>
          <w:tcPr>
            <w:tcW w:type="dxa" w:w="2000"/>
          </w:tcPr>
          <w:p>
            <w:pPr>
              <w:jc w:val="center"/>
            </w:pPr>
            <w:r>
              <w:rPr>
                <w:rFonts w:ascii="Calibri" w:cs="Calibri" w:eastAsia="Calibri" w:hAnsi="Calibri"/>
                <w:sz w:val="22"/>
                <w:szCs w:val="22"/>
              </w:rPr>
              <w:t xml:space="preserve">Country/Region</w:t>
            </w:r>
          </w:p>
        </w:tc>
        <w:tc>
          <w:tcPr>
            <w:tcW w:type="dxa" w:w="2500"/>
          </w:tcPr>
          <w:p>
            <w:pPr>
              <w:jc w:val="center"/>
            </w:pPr>
            <w:r>
              <w:rPr>
                <w:rFonts w:ascii="Calibri" w:cs="Calibri" w:eastAsia="Calibri" w:hAnsi="Calibri"/>
                <w:sz w:val="22"/>
                <w:szCs w:val="22"/>
              </w:rPr>
              <w:t xml:space="preserve">String</w:t>
            </w:r>
          </w:p>
        </w:tc>
        <w:tc>
          <w:tcPr>
            <w:tcW w:type="dxa" w:w="4140"/>
          </w:tcPr>
          <w:p>
            <w:pPr>
              <w:jc w:val="center"/>
            </w:pPr>
            <w:r>
              <w:rPr>
                <w:rFonts w:ascii="Calibri" w:cs="Calibri" w:eastAsia="Calibri" w:hAnsi="Calibri"/>
                <w:sz w:val="22"/>
                <w:szCs w:val="22"/>
              </w:rPr>
              <w:t xml:space="preserve">Country or region of customer</w:t>
            </w:r>
          </w:p>
        </w:tc>
      </w:tr>
      <w:tr>
        <w:tc>
          <w:tcPr>
            <w:tcW w:type="dxa" w:w="2000"/>
            <w:shd w:fill="EEF2FF" w:color="000000" w:val="clear"/>
          </w:tcPr>
          <w:p>
            <w:pPr>
              <w:jc w:val="center"/>
            </w:pPr>
            <w:r>
              <w:rPr>
                <w:rFonts w:ascii="Calibri" w:cs="Calibri" w:eastAsia="Calibri" w:hAnsi="Calibri"/>
                <w:sz w:val="22"/>
                <w:szCs w:val="22"/>
              </w:rPr>
              <w:t xml:space="preserve">City</w:t>
            </w:r>
          </w:p>
        </w:tc>
        <w:tc>
          <w:tcPr>
            <w:tcW w:type="dxa" w:w="2500"/>
            <w:shd w:fill="EEF2FF" w:color="000000" w:val="clear"/>
          </w:tcPr>
          <w:p>
            <w:pPr>
              <w:jc w:val="center"/>
            </w:pPr>
            <w:r>
              <w:rPr>
                <w:rFonts w:ascii="Calibri" w:cs="Calibri" w:eastAsia="Calibri" w:hAnsi="Calibri"/>
                <w:sz w:val="22"/>
                <w:szCs w:val="22"/>
              </w:rPr>
              <w:t xml:space="preserve">String</w:t>
            </w:r>
          </w:p>
        </w:tc>
        <w:tc>
          <w:tcPr>
            <w:tcW w:type="dxa" w:w="4140"/>
            <w:shd w:fill="EEF2FF" w:color="000000" w:val="clear"/>
          </w:tcPr>
          <w:p>
            <w:pPr>
              <w:jc w:val="center"/>
            </w:pPr>
            <w:r>
              <w:rPr>
                <w:rFonts w:ascii="Calibri" w:cs="Calibri" w:eastAsia="Calibri" w:hAnsi="Calibri"/>
                <w:sz w:val="22"/>
                <w:szCs w:val="22"/>
              </w:rPr>
              <w:t xml:space="preserve">City of customer</w:t>
            </w:r>
          </w:p>
        </w:tc>
      </w:tr>
      <w:tr>
        <w:tc>
          <w:tcPr>
            <w:tcW w:type="dxa" w:w="2000"/>
          </w:tcPr>
          <w:p>
            <w:pPr>
              <w:jc w:val="center"/>
            </w:pPr>
            <w:r>
              <w:rPr>
                <w:rFonts w:ascii="Calibri" w:cs="Calibri" w:eastAsia="Calibri" w:hAnsi="Calibri"/>
                <w:sz w:val="22"/>
                <w:szCs w:val="22"/>
              </w:rPr>
              <w:t xml:space="preserve">State/Province</w:t>
            </w:r>
          </w:p>
        </w:tc>
        <w:tc>
          <w:tcPr>
            <w:tcW w:type="dxa" w:w="2500"/>
          </w:tcPr>
          <w:p>
            <w:pPr>
              <w:jc w:val="center"/>
            </w:pPr>
            <w:r>
              <w:rPr>
                <w:rFonts w:ascii="Calibri" w:cs="Calibri" w:eastAsia="Calibri" w:hAnsi="Calibri"/>
                <w:sz w:val="22"/>
                <w:szCs w:val="22"/>
              </w:rPr>
              <w:t xml:space="preserve">String</w:t>
            </w:r>
          </w:p>
        </w:tc>
        <w:tc>
          <w:tcPr>
            <w:tcW w:type="dxa" w:w="4140"/>
          </w:tcPr>
          <w:p>
            <w:pPr>
              <w:jc w:val="center"/>
            </w:pPr>
            <w:r>
              <w:rPr>
                <w:rFonts w:ascii="Calibri" w:cs="Calibri" w:eastAsia="Calibri" w:hAnsi="Calibri"/>
                <w:sz w:val="22"/>
                <w:szCs w:val="22"/>
              </w:rPr>
              <w:t xml:space="preserve">State of customer delivery</w:t>
            </w:r>
          </w:p>
        </w:tc>
      </w:tr>
      <w:tr>
        <w:tc>
          <w:tcPr>
            <w:tcW w:type="dxa" w:w="2000"/>
            <w:shd w:fill="EEF2FF" w:color="000000" w:val="clear"/>
          </w:tcPr>
          <w:p>
            <w:pPr>
              <w:jc w:val="center"/>
            </w:pPr>
            <w:r>
              <w:rPr>
                <w:rFonts w:ascii="Calibri" w:cs="Calibri" w:eastAsia="Calibri" w:hAnsi="Calibri"/>
                <w:sz w:val="22"/>
                <w:szCs w:val="22"/>
              </w:rPr>
              <w:t xml:space="preserve">Postal Code</w:t>
            </w:r>
          </w:p>
        </w:tc>
        <w:tc>
          <w:tcPr>
            <w:tcW w:type="dxa" w:w="2500"/>
            <w:shd w:fill="EEF2FF" w:color="000000" w:val="clear"/>
          </w:tcPr>
          <w:p>
            <w:pPr>
              <w:jc w:val="center"/>
            </w:pPr>
            <w:r>
              <w:rPr>
                <w:rFonts w:ascii="Calibri" w:cs="Calibri" w:eastAsia="Calibri" w:hAnsi="Calibri"/>
                <w:sz w:val="22"/>
                <w:szCs w:val="22"/>
              </w:rPr>
              <w:t xml:space="preserve">String</w:t>
            </w:r>
          </w:p>
        </w:tc>
        <w:tc>
          <w:tcPr>
            <w:tcW w:type="dxa" w:w="4140"/>
            <w:shd w:fill="EEF2FF" w:color="000000" w:val="clear"/>
          </w:tcPr>
          <w:p>
            <w:pPr>
              <w:jc w:val="center"/>
            </w:pPr>
            <w:r>
              <w:rPr>
                <w:rFonts w:ascii="Calibri" w:cs="Calibri" w:eastAsia="Calibri" w:hAnsi="Calibri"/>
                <w:sz w:val="22"/>
                <w:szCs w:val="22"/>
              </w:rPr>
              <w:t xml:space="preserve">Delivery zip code</w:t>
            </w:r>
          </w:p>
        </w:tc>
      </w:tr>
      <w:tr>
        <w:tc>
          <w:tcPr>
            <w:tcW w:type="dxa" w:w="2000"/>
          </w:tcPr>
          <w:p>
            <w:pPr>
              <w:jc w:val="center"/>
            </w:pPr>
            <w:r>
              <w:rPr>
                <w:rFonts w:ascii="Calibri" w:cs="Calibri" w:eastAsia="Calibri" w:hAnsi="Calibri"/>
                <w:sz w:val="22"/>
                <w:szCs w:val="22"/>
              </w:rPr>
              <w:t xml:space="preserve">Division</w:t>
            </w:r>
          </w:p>
        </w:tc>
        <w:tc>
          <w:tcPr>
            <w:tcW w:type="dxa" w:w="2500"/>
          </w:tcPr>
          <w:p>
            <w:pPr>
              <w:jc w:val="center"/>
            </w:pPr>
            <w:r>
              <w:rPr>
                <w:rFonts w:ascii="Calibri" w:cs="Calibri" w:eastAsia="Calibri" w:hAnsi="Calibri"/>
                <w:sz w:val="22"/>
                <w:szCs w:val="22"/>
              </w:rPr>
              <w:t xml:space="preserve">Categorical</w:t>
            </w:r>
          </w:p>
        </w:tc>
        <w:tc>
          <w:tcPr>
            <w:tcW w:type="dxa" w:w="4140"/>
          </w:tcPr>
          <w:p>
            <w:pPr>
              <w:jc w:val="center"/>
            </w:pPr>
            <w:r>
              <w:rPr>
                <w:rFonts w:ascii="Calibri" w:cs="Calibri" w:eastAsia="Calibri" w:hAnsi="Calibri"/>
                <w:sz w:val="22"/>
                <w:szCs w:val="22"/>
              </w:rPr>
              <w:t xml:space="preserve">Product division</w:t>
            </w:r>
          </w:p>
        </w:tc>
      </w:tr>
      <w:tr>
        <w:tc>
          <w:tcPr>
            <w:tcW w:type="dxa" w:w="2000"/>
            <w:shd w:fill="EEF2FF" w:color="000000" w:val="clear"/>
          </w:tcPr>
          <w:p>
            <w:pPr>
              <w:jc w:val="center"/>
            </w:pPr>
            <w:r>
              <w:rPr>
                <w:rFonts w:ascii="Calibri" w:cs="Calibri" w:eastAsia="Calibri" w:hAnsi="Calibri"/>
                <w:sz w:val="22"/>
                <w:szCs w:val="22"/>
              </w:rPr>
              <w:t xml:space="preserve">Region</w:t>
            </w:r>
          </w:p>
        </w:tc>
        <w:tc>
          <w:tcPr>
            <w:tcW w:type="dxa" w:w="2500"/>
            <w:shd w:fill="EEF2FF" w:color="000000" w:val="clear"/>
          </w:tcPr>
          <w:p>
            <w:pPr>
              <w:jc w:val="center"/>
            </w:pPr>
            <w:r>
              <w:rPr>
                <w:rFonts w:ascii="Calibri" w:cs="Calibri" w:eastAsia="Calibri" w:hAnsi="Calibri"/>
                <w:sz w:val="22"/>
                <w:szCs w:val="22"/>
              </w:rPr>
              <w:t xml:space="preserve">Categorical</w:t>
            </w:r>
          </w:p>
        </w:tc>
        <w:tc>
          <w:tcPr>
            <w:tcW w:type="dxa" w:w="4140"/>
            <w:shd w:fill="EEF2FF" w:color="000000" w:val="clear"/>
          </w:tcPr>
          <w:p>
            <w:pPr>
              <w:jc w:val="center"/>
            </w:pPr>
            <w:r>
              <w:rPr>
                <w:rFonts w:ascii="Calibri" w:cs="Calibri" w:eastAsia="Calibri" w:hAnsi="Calibri"/>
                <w:sz w:val="22"/>
                <w:szCs w:val="22"/>
              </w:rPr>
              <w:t xml:space="preserve">Broad US region of customer</w:t>
            </w:r>
          </w:p>
        </w:tc>
      </w:tr>
      <w:tr>
        <w:tc>
          <w:tcPr>
            <w:tcW w:type="dxa" w:w="2000"/>
          </w:tcPr>
          <w:p>
            <w:pPr>
              <w:jc w:val="center"/>
            </w:pPr>
            <w:r>
              <w:rPr>
                <w:rFonts w:ascii="Calibri" w:cs="Calibri" w:eastAsia="Calibri" w:hAnsi="Calibri"/>
                <w:sz w:val="22"/>
                <w:szCs w:val="22"/>
              </w:rPr>
              <w:t xml:space="preserve">Product ID</w:t>
            </w:r>
          </w:p>
        </w:tc>
        <w:tc>
          <w:tcPr>
            <w:tcW w:type="dxa" w:w="2500"/>
          </w:tcPr>
          <w:p>
            <w:pPr>
              <w:jc w:val="center"/>
            </w:pPr>
            <w:r>
              <w:rPr>
                <w:rFonts w:ascii="Calibri" w:cs="Calibri" w:eastAsia="Calibri" w:hAnsi="Calibri"/>
                <w:sz w:val="22"/>
                <w:szCs w:val="22"/>
              </w:rPr>
              <w:t xml:space="preserve">String</w:t>
            </w:r>
          </w:p>
        </w:tc>
        <w:tc>
          <w:tcPr>
            <w:tcW w:type="dxa" w:w="4140"/>
          </w:tcPr>
          <w:p>
            <w:pPr>
              <w:jc w:val="center"/>
            </w:pPr>
            <w:r>
              <w:rPr>
                <w:rFonts w:ascii="Calibri" w:cs="Calibri" w:eastAsia="Calibri" w:hAnsi="Calibri"/>
                <w:sz w:val="22"/>
                <w:szCs w:val="22"/>
              </w:rPr>
              <w:t xml:space="preserve">Unique product identifier</w:t>
            </w:r>
          </w:p>
        </w:tc>
      </w:tr>
      <w:tr>
        <w:tc>
          <w:tcPr>
            <w:tcW w:type="dxa" w:w="2000"/>
            <w:shd w:fill="EEF2FF" w:color="000000" w:val="clear"/>
          </w:tcPr>
          <w:p>
            <w:pPr>
              <w:jc w:val="center"/>
            </w:pPr>
            <w:r>
              <w:rPr>
                <w:rFonts w:ascii="Calibri" w:cs="Calibri" w:eastAsia="Calibri" w:hAnsi="Calibri"/>
                <w:sz w:val="22"/>
                <w:szCs w:val="22"/>
              </w:rPr>
              <w:t xml:space="preserve">Product Name</w:t>
            </w:r>
          </w:p>
        </w:tc>
        <w:tc>
          <w:tcPr>
            <w:tcW w:type="dxa" w:w="2500"/>
            <w:shd w:fill="EEF2FF" w:color="000000" w:val="clear"/>
          </w:tcPr>
          <w:p>
            <w:pPr>
              <w:jc w:val="center"/>
            </w:pPr>
            <w:r>
              <w:rPr>
                <w:rFonts w:ascii="Calibri" w:cs="Calibri" w:eastAsia="Calibri" w:hAnsi="Calibri"/>
                <w:sz w:val="22"/>
                <w:szCs w:val="22"/>
              </w:rPr>
              <w:t xml:space="preserve">String</w:t>
            </w:r>
          </w:p>
        </w:tc>
        <w:tc>
          <w:tcPr>
            <w:tcW w:type="dxa" w:w="4140"/>
            <w:shd w:fill="EEF2FF" w:color="000000" w:val="clear"/>
          </w:tcPr>
          <w:p>
            <w:pPr>
              <w:jc w:val="center"/>
            </w:pPr>
            <w:r>
              <w:rPr>
                <w:rFonts w:ascii="Calibri" w:cs="Calibri" w:eastAsia="Calibri" w:hAnsi="Calibri"/>
                <w:sz w:val="22"/>
                <w:szCs w:val="22"/>
              </w:rPr>
              <w:t xml:space="preserve">Full product name</w:t>
            </w:r>
          </w:p>
        </w:tc>
      </w:tr>
      <w:tr>
        <w:tc>
          <w:tcPr>
            <w:tcW w:type="dxa" w:w="2000"/>
          </w:tcPr>
          <w:p>
            <w:pPr>
              <w:jc w:val="center"/>
            </w:pPr>
            <w:r>
              <w:rPr>
                <w:rFonts w:ascii="Calibri" w:cs="Calibri" w:eastAsia="Calibri" w:hAnsi="Calibri"/>
                <w:sz w:val="22"/>
                <w:szCs w:val="22"/>
              </w:rPr>
              <w:t xml:space="preserve">Sales</w:t>
            </w:r>
          </w:p>
        </w:tc>
        <w:tc>
          <w:tcPr>
            <w:tcW w:type="dxa" w:w="2500"/>
          </w:tcPr>
          <w:p>
            <w:pPr>
              <w:jc w:val="center"/>
            </w:pPr>
            <w:r>
              <w:rPr>
                <w:rFonts w:ascii="Calibri" w:cs="Calibri" w:eastAsia="Calibri" w:hAnsi="Calibri"/>
                <w:sz w:val="22"/>
                <w:szCs w:val="22"/>
              </w:rPr>
              <w:t xml:space="preserve">Float</w:t>
            </w:r>
          </w:p>
        </w:tc>
        <w:tc>
          <w:tcPr>
            <w:tcW w:type="dxa" w:w="4140"/>
          </w:tcPr>
          <w:p>
            <w:pPr>
              <w:jc w:val="center"/>
            </w:pPr>
            <w:r>
              <w:rPr>
                <w:rFonts w:ascii="Calibri" w:cs="Calibri" w:eastAsia="Calibri" w:hAnsi="Calibri"/>
                <w:sz w:val="22"/>
                <w:szCs w:val="22"/>
              </w:rPr>
              <w:t xml:space="preserve">Total sales value of order (USD)</w:t>
            </w:r>
          </w:p>
        </w:tc>
      </w:tr>
      <w:tr>
        <w:tc>
          <w:tcPr>
            <w:tcW w:type="dxa" w:w="2000"/>
            <w:shd w:fill="EEF2FF" w:color="000000" w:val="clear"/>
          </w:tcPr>
          <w:p>
            <w:pPr>
              <w:jc w:val="center"/>
            </w:pPr>
            <w:r>
              <w:rPr>
                <w:rFonts w:ascii="Calibri" w:cs="Calibri" w:eastAsia="Calibri" w:hAnsi="Calibri"/>
                <w:sz w:val="22"/>
                <w:szCs w:val="22"/>
              </w:rPr>
              <w:t xml:space="preserve">Units</w:t>
            </w:r>
          </w:p>
        </w:tc>
        <w:tc>
          <w:tcPr>
            <w:tcW w:type="dxa" w:w="2500"/>
            <w:shd w:fill="EEF2FF" w:color="000000" w:val="clear"/>
          </w:tcPr>
          <w:p>
            <w:pPr>
              <w:jc w:val="center"/>
            </w:pPr>
            <w:r>
              <w:rPr>
                <w:rFonts w:ascii="Calibri" w:cs="Calibri" w:eastAsia="Calibri" w:hAnsi="Calibri"/>
                <w:sz w:val="22"/>
                <w:szCs w:val="22"/>
              </w:rPr>
              <w:t xml:space="preserve">Integer</w:t>
            </w:r>
          </w:p>
        </w:tc>
        <w:tc>
          <w:tcPr>
            <w:tcW w:type="dxa" w:w="4140"/>
            <w:shd w:fill="EEF2FF" w:color="000000" w:val="clear"/>
          </w:tcPr>
          <w:p>
            <w:pPr>
              <w:jc w:val="center"/>
            </w:pPr>
            <w:r>
              <w:rPr>
                <w:rFonts w:ascii="Calibri" w:cs="Calibri" w:eastAsia="Calibri" w:hAnsi="Calibri"/>
                <w:sz w:val="22"/>
                <w:szCs w:val="22"/>
              </w:rPr>
              <w:t xml:space="preserve">Total units ordered</w:t>
            </w:r>
          </w:p>
        </w:tc>
      </w:tr>
      <w:tr>
        <w:tc>
          <w:tcPr>
            <w:tcW w:type="dxa" w:w="2000"/>
          </w:tcPr>
          <w:p>
            <w:pPr>
              <w:jc w:val="center"/>
            </w:pPr>
            <w:r>
              <w:rPr>
                <w:rFonts w:ascii="Calibri" w:cs="Calibri" w:eastAsia="Calibri" w:hAnsi="Calibri"/>
                <w:sz w:val="22"/>
                <w:szCs w:val="22"/>
              </w:rPr>
              <w:t xml:space="preserve">Gross Profit</w:t>
            </w:r>
          </w:p>
        </w:tc>
        <w:tc>
          <w:tcPr>
            <w:tcW w:type="dxa" w:w="2500"/>
          </w:tcPr>
          <w:p>
            <w:pPr>
              <w:jc w:val="center"/>
            </w:pPr>
            <w:r>
              <w:rPr>
                <w:rFonts w:ascii="Calibri" w:cs="Calibri" w:eastAsia="Calibri" w:hAnsi="Calibri"/>
                <w:sz w:val="22"/>
                <w:szCs w:val="22"/>
              </w:rPr>
              <w:t xml:space="preserve">Float</w:t>
            </w:r>
          </w:p>
        </w:tc>
        <w:tc>
          <w:tcPr>
            <w:tcW w:type="dxa" w:w="4140"/>
          </w:tcPr>
          <w:p>
            <w:pPr>
              <w:jc w:val="center"/>
            </w:pPr>
            <w:r>
              <w:rPr>
                <w:rFonts w:ascii="Calibri" w:cs="Calibri" w:eastAsia="Calibri" w:hAnsi="Calibri"/>
                <w:sz w:val="22"/>
                <w:szCs w:val="22"/>
              </w:rPr>
              <w:t xml:space="preserve">Sales minus Cost (USD)</w:t>
            </w:r>
          </w:p>
        </w:tc>
      </w:tr>
      <w:tr>
        <w:tc>
          <w:tcPr>
            <w:tcW w:type="dxa" w:w="2000"/>
            <w:shd w:fill="EEF2FF" w:color="000000" w:val="clear"/>
          </w:tcPr>
          <w:p>
            <w:pPr>
              <w:jc w:val="center"/>
            </w:pPr>
            <w:r>
              <w:rPr>
                <w:rFonts w:ascii="Calibri" w:cs="Calibri" w:eastAsia="Calibri" w:hAnsi="Calibri"/>
                <w:sz w:val="22"/>
                <w:szCs w:val="22"/>
              </w:rPr>
              <w:t xml:space="preserve">Cost</w:t>
            </w:r>
          </w:p>
        </w:tc>
        <w:tc>
          <w:tcPr>
            <w:tcW w:type="dxa" w:w="2500"/>
            <w:shd w:fill="EEF2FF" w:color="000000" w:val="clear"/>
          </w:tcPr>
          <w:p>
            <w:pPr>
              <w:jc w:val="center"/>
            </w:pPr>
            <w:r>
              <w:rPr>
                <w:rFonts w:ascii="Calibri" w:cs="Calibri" w:eastAsia="Calibri" w:hAnsi="Calibri"/>
                <w:sz w:val="22"/>
                <w:szCs w:val="22"/>
              </w:rPr>
              <w:t xml:space="preserve">Float</w:t>
            </w:r>
          </w:p>
        </w:tc>
        <w:tc>
          <w:tcPr>
            <w:tcW w:type="dxa" w:w="4140"/>
            <w:shd w:fill="EEF2FF" w:color="000000" w:val="clear"/>
          </w:tcPr>
          <w:p>
            <w:pPr>
              <w:jc w:val="center"/>
            </w:pPr>
            <w:r>
              <w:rPr>
                <w:rFonts w:ascii="Calibri" w:cs="Calibri" w:eastAsia="Calibri" w:hAnsi="Calibri"/>
                <w:sz w:val="22"/>
                <w:szCs w:val="22"/>
              </w:rPr>
              <w:t xml:space="preserve">Cost to manufacture (USD)</w:t>
            </w:r>
          </w:p>
        </w:tc>
      </w:tr>
    </w:tbl>
    <w:p>
      <w:pPr>
        <w:spacing w:after="200"/>
      </w:pPr>
    </w:p>
    <w:p>
      <w:r>
        <w:br w:type="page"/>
      </w:r>
    </w:p>
    <w:p>
      <w:pPr>
        <w:pStyle w:val="Heading1"/>
        <w:spacing w:after="120" w:before="360"/>
      </w:pPr>
      <w:r>
        <w:t xml:space="preserve">3. Analytical Methodology</w:t>
      </w:r>
    </w:p>
    <w:p>
      <w:pPr>
        <w:pStyle w:val="Heading2"/>
        <w:spacing w:after="100" w:before="240"/>
      </w:pPr>
      <w:r>
        <w:t xml:space="preserve">3.1 Step 1: Data Cleaning &amp; Validation</w:t>
      </w:r>
    </w:p>
    <w:p>
      <w:pPr>
        <w:spacing w:after="120"/>
        <w:jc w:val="both"/>
      </w:pPr>
      <w:r>
        <w:rPr>
          <w:rFonts w:ascii="Calibri" w:cs="Calibri" w:eastAsia="Calibri" w:hAnsi="Calibri"/>
          <w:sz w:val="24"/>
          <w:szCs w:val="24"/>
        </w:rPr>
        <w:t xml:space="preserve">The raw dataset required one critical correction before analysis could proceed. The Ship Date column contained values with corrupted years — a known artifact of exporting spreadsheets that use TODAY()-based date formulas. While day and month values were accurate, the year component was incorrect by several years, producing nonsensical lead times of 900–1,640 days.</w:t>
      </w:r>
    </w:p>
    <w:p>
      <w:pPr>
        <w:spacing w:after="120"/>
        <w:jc w:val="both"/>
      </w:pPr>
      <w:r>
        <w:rPr>
          <w:rFonts w:ascii="Calibri" w:cs="Calibri" w:eastAsia="Calibri" w:hAnsi="Calibri"/>
          <w:sz w:val="24"/>
          <w:szCs w:val="24"/>
        </w:rPr>
        <w:t xml:space="preserve">Correction approach: For each record, the ship date year was replaced with the order date year. If this produced a date before the order date (i.e., ship month/day falls before order month/day within the same year), the year was incremented by one. This yielded corrected lead times in the range of 173–185 days with a mean of 177.6 days and standard deviation of 1.82 days, representing valid relative comparisons across routes.</w:t>
      </w:r>
    </w:p>
    <w:p>
      <w:pPr>
        <w:pStyle w:val="ListParagraph"/>
        <w:numPr>
          <w:ilvl w:val="0"/>
          <w:numId w:val="1"/>
        </w:numPr>
        <w:spacing w:after="60"/>
      </w:pPr>
      <w:r>
        <w:rPr>
          <w:rFonts w:ascii="Calibri" w:cs="Calibri" w:eastAsia="Calibri" w:hAnsi="Calibri"/>
          <w:sz w:val="24"/>
          <w:szCs w:val="24"/>
        </w:rPr>
        <w:t xml:space="preserve">Date validation: Both date fields parsed with format DD-MM-YYYY; 0 NaT values after parsing</w:t>
      </w:r>
    </w:p>
    <w:p>
      <w:pPr>
        <w:pStyle w:val="ListParagraph"/>
        <w:numPr>
          <w:ilvl w:val="0"/>
          <w:numId w:val="1"/>
        </w:numPr>
        <w:spacing w:after="60"/>
      </w:pPr>
      <w:r>
        <w:rPr>
          <w:rFonts w:ascii="Calibri" w:cs="Calibri" w:eastAsia="Calibri" w:hAnsi="Calibri"/>
          <w:sz w:val="24"/>
          <w:szCs w:val="24"/>
        </w:rPr>
        <w:t xml:space="preserve">Ship Date year correction: Applied custom year-fix function to all 10,194 records</w:t>
      </w:r>
    </w:p>
    <w:p>
      <w:pPr>
        <w:pStyle w:val="ListParagraph"/>
        <w:numPr>
          <w:ilvl w:val="0"/>
          <w:numId w:val="1"/>
        </w:numPr>
        <w:spacing w:after="60"/>
      </w:pPr>
      <w:r>
        <w:rPr>
          <w:rFonts w:ascii="Calibri" w:cs="Calibri" w:eastAsia="Calibri" w:hAnsi="Calibri"/>
          <w:sz w:val="24"/>
          <w:szCs w:val="24"/>
        </w:rPr>
        <w:t xml:space="preserve">Negative lead time removal: Post-correction, 0 records had negative lead time</w:t>
      </w:r>
    </w:p>
    <w:p>
      <w:pPr>
        <w:pStyle w:val="ListParagraph"/>
        <w:numPr>
          <w:ilvl w:val="0"/>
          <w:numId w:val="1"/>
        </w:numPr>
        <w:spacing w:after="60"/>
      </w:pPr>
      <w:r>
        <w:rPr>
          <w:rFonts w:ascii="Calibri" w:cs="Calibri" w:eastAsia="Calibri" w:hAnsi="Calibri"/>
          <w:sz w:val="24"/>
          <w:szCs w:val="24"/>
        </w:rPr>
        <w:t xml:space="preserve">Missing value check: 0 missing values across all 18 columns</w:t>
      </w:r>
    </w:p>
    <w:p>
      <w:pPr>
        <w:pStyle w:val="ListParagraph"/>
        <w:numPr>
          <w:ilvl w:val="0"/>
          <w:numId w:val="1"/>
        </w:numPr>
        <w:spacing w:after="60"/>
      </w:pPr>
      <w:r>
        <w:rPr>
          <w:rFonts w:ascii="Calibri" w:cs="Calibri" w:eastAsia="Calibri" w:hAnsi="Calibri"/>
          <w:sz w:val="24"/>
          <w:szCs w:val="24"/>
        </w:rPr>
        <w:t xml:space="preserve">Duplicate check: 0 fully duplicate rows found</w:t>
      </w:r>
    </w:p>
    <w:p>
      <w:pPr>
        <w:pStyle w:val="ListParagraph"/>
        <w:numPr>
          <w:ilvl w:val="0"/>
          <w:numId w:val="1"/>
        </w:numPr>
        <w:spacing w:after="60"/>
      </w:pPr>
      <w:r>
        <w:rPr>
          <w:rFonts w:ascii="Calibri" w:cs="Calibri" w:eastAsia="Calibri" w:hAnsi="Calibri"/>
          <w:sz w:val="24"/>
          <w:szCs w:val="24"/>
        </w:rPr>
        <w:t xml:space="preserve">Geographic field standardization: State/Province and Region used as-is (consistent naming)</w:t>
      </w:r>
    </w:p>
    <w:p>
      <w:pPr>
        <w:pStyle w:val="Heading2"/>
        <w:spacing w:after="100" w:before="240"/>
      </w:pPr>
      <w:r>
        <w:t xml:space="preserve">3.2 Step 2: Feature Engineering</w:t>
      </w:r>
    </w:p>
    <w:p>
      <w:pPr>
        <w:spacing w:after="120"/>
        <w:jc w:val="both"/>
      </w:pPr>
      <w:r>
        <w:rPr>
          <w:rFonts w:ascii="Calibri" w:cs="Calibri" w:eastAsia="Calibri" w:hAnsi="Calibri"/>
          <w:sz w:val="24"/>
          <w:szCs w:val="24"/>
        </w:rPr>
        <w:t xml:space="preserve">The following derived features were created to power the analysis: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440"/>
      </w:tblGrid>
      <w:tr>
        <w:trPr>
          <w:tblHeader/>
        </w:trPr>
        <w:tc>
          <w:tcPr>
            <w:tcW w:type="dxa" w:w="2200"/>
            <w:shd w:fill="1a1a2e" w:color="ffffff" w:val="clear"/>
          </w:tcPr>
          <w:p>
            <w:pPr>
              <w:jc w:val="center"/>
            </w:pPr>
            <w:r>
              <w:rPr>
                <w:rFonts w:ascii="Calibri" w:cs="Calibri" w:eastAsia="Calibri" w:hAnsi="Calibri"/>
                <w:b/>
                <w:bCs/>
                <w:color w:val="FFFFFF"/>
                <w:sz w:val="22"/>
                <w:szCs w:val="22"/>
              </w:rPr>
              <w:t xml:space="preserve">Feature</w:t>
            </w:r>
          </w:p>
        </w:tc>
        <w:tc>
          <w:tcPr>
            <w:tcW w:type="dxa" w:w="3000"/>
            <w:shd w:fill="1a1a2e" w:color="ffffff" w:val="clear"/>
          </w:tcPr>
          <w:p>
            <w:pPr>
              <w:jc w:val="center"/>
            </w:pPr>
            <w:r>
              <w:rPr>
                <w:rFonts w:ascii="Calibri" w:cs="Calibri" w:eastAsia="Calibri" w:hAnsi="Calibri"/>
                <w:b/>
                <w:bCs/>
                <w:color w:val="FFFFFF"/>
                <w:sz w:val="22"/>
                <w:szCs w:val="22"/>
              </w:rPr>
              <w:t xml:space="preserve">Formula / Logic</w:t>
            </w:r>
          </w:p>
        </w:tc>
        <w:tc>
          <w:tcPr>
            <w:tcW w:type="dxa" w:w="3440"/>
            <w:shd w:fill="1a1a2e" w:color="ffffff" w:val="clear"/>
          </w:tcPr>
          <w:p>
            <w:pPr>
              <w:jc w:val="center"/>
            </w:pPr>
            <w:r>
              <w:rPr>
                <w:rFonts w:ascii="Calibri" w:cs="Calibri" w:eastAsia="Calibri" w:hAnsi="Calibri"/>
                <w:b/>
                <w:bCs/>
                <w:color w:val="FFFFFF"/>
                <w:sz w:val="22"/>
                <w:szCs w:val="22"/>
              </w:rPr>
              <w:t xml:space="preserve">Purpose</w:t>
            </w:r>
          </w:p>
        </w:tc>
      </w:tr>
      <w:tr>
        <w:tc>
          <w:tcPr>
            <w:tcW w:type="dxa" w:w="2200"/>
          </w:tcPr>
          <w:p>
            <w:pPr>
              <w:jc w:val="center"/>
            </w:pPr>
            <w:r>
              <w:rPr>
                <w:rFonts w:ascii="Calibri" w:cs="Calibri" w:eastAsia="Calibri" w:hAnsi="Calibri"/>
                <w:sz w:val="22"/>
                <w:szCs w:val="22"/>
              </w:rPr>
              <w:t xml:space="preserve">Lead Time (days)</w:t>
            </w:r>
          </w:p>
        </w:tc>
        <w:tc>
          <w:tcPr>
            <w:tcW w:type="dxa" w:w="3000"/>
          </w:tcPr>
          <w:p>
            <w:pPr>
              <w:jc w:val="center"/>
            </w:pPr>
            <w:r>
              <w:rPr>
                <w:rFonts w:ascii="Calibri" w:cs="Calibri" w:eastAsia="Calibri" w:hAnsi="Calibri"/>
                <w:sz w:val="22"/>
                <w:szCs w:val="22"/>
              </w:rPr>
              <w:t xml:space="preserve">Ship Date Fixed − Order Date</w:t>
            </w:r>
          </w:p>
        </w:tc>
        <w:tc>
          <w:tcPr>
            <w:tcW w:type="dxa" w:w="3440"/>
          </w:tcPr>
          <w:p>
            <w:pPr>
              <w:jc w:val="center"/>
            </w:pPr>
            <w:r>
              <w:rPr>
                <w:rFonts w:ascii="Calibri" w:cs="Calibri" w:eastAsia="Calibri" w:hAnsi="Calibri"/>
                <w:sz w:val="22"/>
                <w:szCs w:val="22"/>
              </w:rPr>
              <w:t xml:space="preserve">Primary efficiency metric</w:t>
            </w:r>
          </w:p>
        </w:tc>
      </w:tr>
      <w:tr>
        <w:tc>
          <w:tcPr>
            <w:tcW w:type="dxa" w:w="2200"/>
            <w:shd w:fill="EEF2FF" w:color="000000" w:val="clear"/>
          </w:tcPr>
          <w:p>
            <w:pPr>
              <w:jc w:val="center"/>
            </w:pPr>
            <w:r>
              <w:rPr>
                <w:rFonts w:ascii="Calibri" w:cs="Calibri" w:eastAsia="Calibri" w:hAnsi="Calibri"/>
                <w:sz w:val="22"/>
                <w:szCs w:val="22"/>
              </w:rPr>
              <w:t xml:space="preserve">Factory</w:t>
            </w:r>
          </w:p>
        </w:tc>
        <w:tc>
          <w:tcPr>
            <w:tcW w:type="dxa" w:w="3000"/>
            <w:shd w:fill="EEF2FF" w:color="000000" w:val="clear"/>
          </w:tcPr>
          <w:p>
            <w:pPr>
              <w:jc w:val="center"/>
            </w:pPr>
            <w:r>
              <w:rPr>
                <w:rFonts w:ascii="Calibri" w:cs="Calibri" w:eastAsia="Calibri" w:hAnsi="Calibri"/>
                <w:sz w:val="22"/>
                <w:szCs w:val="22"/>
              </w:rPr>
              <w:t xml:space="preserve">Product Name → Factory lookup table</w:t>
            </w:r>
          </w:p>
        </w:tc>
        <w:tc>
          <w:tcPr>
            <w:tcW w:type="dxa" w:w="3440"/>
            <w:shd w:fill="EEF2FF" w:color="000000" w:val="clear"/>
          </w:tcPr>
          <w:p>
            <w:pPr>
              <w:jc w:val="center"/>
            </w:pPr>
            <w:r>
              <w:rPr>
                <w:rFonts w:ascii="Calibri" w:cs="Calibri" w:eastAsia="Calibri" w:hAnsi="Calibri"/>
                <w:sz w:val="22"/>
                <w:szCs w:val="22"/>
              </w:rPr>
              <w:t xml:space="preserve">Link orders to source factory</w:t>
            </w:r>
          </w:p>
        </w:tc>
      </w:tr>
      <w:tr>
        <w:tc>
          <w:tcPr>
            <w:tcW w:type="dxa" w:w="2200"/>
          </w:tcPr>
          <w:p>
            <w:pPr>
              <w:jc w:val="center"/>
            </w:pPr>
            <w:r>
              <w:rPr>
                <w:rFonts w:ascii="Calibri" w:cs="Calibri" w:eastAsia="Calibri" w:hAnsi="Calibri"/>
                <w:sz w:val="22"/>
                <w:szCs w:val="22"/>
              </w:rPr>
              <w:t xml:space="preserve">Route</w:t>
            </w:r>
          </w:p>
        </w:tc>
        <w:tc>
          <w:tcPr>
            <w:tcW w:type="dxa" w:w="3000"/>
          </w:tcPr>
          <w:p>
            <w:pPr>
              <w:jc w:val="center"/>
            </w:pPr>
            <w:r>
              <w:rPr>
                <w:rFonts w:ascii="Calibri" w:cs="Calibri" w:eastAsia="Calibri" w:hAnsi="Calibri"/>
                <w:sz w:val="22"/>
                <w:szCs w:val="22"/>
              </w:rPr>
              <w:t xml:space="preserve">Factory + ' → ' + State/Province</w:t>
            </w:r>
          </w:p>
        </w:tc>
        <w:tc>
          <w:tcPr>
            <w:tcW w:type="dxa" w:w="3440"/>
          </w:tcPr>
          <w:p>
            <w:pPr>
              <w:jc w:val="center"/>
            </w:pPr>
            <w:r>
              <w:rPr>
                <w:rFonts w:ascii="Calibri" w:cs="Calibri" w:eastAsia="Calibri" w:hAnsi="Calibri"/>
                <w:sz w:val="22"/>
                <w:szCs w:val="22"/>
              </w:rPr>
              <w:t xml:space="preserve">Defines a unique shipping route</w:t>
            </w:r>
          </w:p>
        </w:tc>
      </w:tr>
      <w:tr>
        <w:tc>
          <w:tcPr>
            <w:tcW w:type="dxa" w:w="2200"/>
            <w:shd w:fill="EEF2FF" w:color="000000" w:val="clear"/>
          </w:tcPr>
          <w:p>
            <w:pPr>
              <w:jc w:val="center"/>
            </w:pPr>
            <w:r>
              <w:rPr>
                <w:rFonts w:ascii="Calibri" w:cs="Calibri" w:eastAsia="Calibri" w:hAnsi="Calibri"/>
                <w:sz w:val="22"/>
                <w:szCs w:val="22"/>
              </w:rPr>
              <w:t xml:space="preserve">Route Region</w:t>
            </w:r>
          </w:p>
        </w:tc>
        <w:tc>
          <w:tcPr>
            <w:tcW w:type="dxa" w:w="3000"/>
            <w:shd w:fill="EEF2FF" w:color="000000" w:val="clear"/>
          </w:tcPr>
          <w:p>
            <w:pPr>
              <w:jc w:val="center"/>
            </w:pPr>
            <w:r>
              <w:rPr>
                <w:rFonts w:ascii="Calibri" w:cs="Calibri" w:eastAsia="Calibri" w:hAnsi="Calibri"/>
                <w:sz w:val="22"/>
                <w:szCs w:val="22"/>
              </w:rPr>
              <w:t xml:space="preserve">Factory + ' → ' + Region</w:t>
            </w:r>
          </w:p>
        </w:tc>
        <w:tc>
          <w:tcPr>
            <w:tcW w:type="dxa" w:w="3440"/>
            <w:shd w:fill="EEF2FF" w:color="000000" w:val="clear"/>
          </w:tcPr>
          <w:p>
            <w:pPr>
              <w:jc w:val="center"/>
            </w:pPr>
            <w:r>
              <w:rPr>
                <w:rFonts w:ascii="Calibri" w:cs="Calibri" w:eastAsia="Calibri" w:hAnsi="Calibri"/>
                <w:sz w:val="22"/>
                <w:szCs w:val="22"/>
              </w:rPr>
              <w:t xml:space="preserve">Broader route grouping</w:t>
            </w:r>
          </w:p>
        </w:tc>
      </w:tr>
      <w:tr>
        <w:tc>
          <w:tcPr>
            <w:tcW w:type="dxa" w:w="2200"/>
          </w:tcPr>
          <w:p>
            <w:pPr>
              <w:jc w:val="center"/>
            </w:pPr>
            <w:r>
              <w:rPr>
                <w:rFonts w:ascii="Calibri" w:cs="Calibri" w:eastAsia="Calibri" w:hAnsi="Calibri"/>
                <w:sz w:val="22"/>
                <w:szCs w:val="22"/>
              </w:rPr>
              <w:t xml:space="preserve">Is Delayed</w:t>
            </w:r>
          </w:p>
        </w:tc>
        <w:tc>
          <w:tcPr>
            <w:tcW w:type="dxa" w:w="3000"/>
          </w:tcPr>
          <w:p>
            <w:pPr>
              <w:jc w:val="center"/>
            </w:pPr>
            <w:r>
              <w:rPr>
                <w:rFonts w:ascii="Calibri" w:cs="Calibri" w:eastAsia="Calibri" w:hAnsi="Calibri"/>
                <w:sz w:val="22"/>
                <w:szCs w:val="22"/>
              </w:rPr>
              <w:t xml:space="preserve">Lead Time &gt; 75th percentile (179 days)</w:t>
            </w:r>
          </w:p>
        </w:tc>
        <w:tc>
          <w:tcPr>
            <w:tcW w:type="dxa" w:w="3440"/>
          </w:tcPr>
          <w:p>
            <w:pPr>
              <w:jc w:val="center"/>
            </w:pPr>
            <w:r>
              <w:rPr>
                <w:rFonts w:ascii="Calibri" w:cs="Calibri" w:eastAsia="Calibri" w:hAnsi="Calibri"/>
                <w:sz w:val="22"/>
                <w:szCs w:val="22"/>
              </w:rPr>
              <w:t xml:space="preserve">Binary delay flag per order</w:t>
            </w:r>
          </w:p>
        </w:tc>
      </w:tr>
      <w:tr>
        <w:tc>
          <w:tcPr>
            <w:tcW w:type="dxa" w:w="2200"/>
            <w:shd w:fill="EEF2FF" w:color="000000" w:val="clear"/>
          </w:tcPr>
          <w:p>
            <w:pPr>
              <w:jc w:val="center"/>
            </w:pPr>
            <w:r>
              <w:rPr>
                <w:rFonts w:ascii="Calibri" w:cs="Calibri" w:eastAsia="Calibri" w:hAnsi="Calibri"/>
                <w:sz w:val="22"/>
                <w:szCs w:val="22"/>
              </w:rPr>
              <w:t xml:space="preserve">Factory Lat/Lon</w:t>
            </w:r>
          </w:p>
        </w:tc>
        <w:tc>
          <w:tcPr>
            <w:tcW w:type="dxa" w:w="3000"/>
            <w:shd w:fill="EEF2FF" w:color="000000" w:val="clear"/>
          </w:tcPr>
          <w:p>
            <w:pPr>
              <w:jc w:val="center"/>
            </w:pPr>
            <w:r>
              <w:rPr>
                <w:rFonts w:ascii="Calibri" w:cs="Calibri" w:eastAsia="Calibri" w:hAnsi="Calibri"/>
                <w:sz w:val="22"/>
                <w:szCs w:val="22"/>
              </w:rPr>
              <w:t xml:space="preserve">Coordinates from project specification</w:t>
            </w:r>
          </w:p>
        </w:tc>
        <w:tc>
          <w:tcPr>
            <w:tcW w:type="dxa" w:w="3440"/>
            <w:shd w:fill="EEF2FF" w:color="000000" w:val="clear"/>
          </w:tcPr>
          <w:p>
            <w:pPr>
              <w:jc w:val="center"/>
            </w:pPr>
            <w:r>
              <w:rPr>
                <w:rFonts w:ascii="Calibri" w:cs="Calibri" w:eastAsia="Calibri" w:hAnsi="Calibri"/>
                <w:sz w:val="22"/>
                <w:szCs w:val="22"/>
              </w:rPr>
              <w:t xml:space="preserve">Geographic map visualization</w:t>
            </w:r>
          </w:p>
        </w:tc>
      </w:tr>
      <w:tr>
        <w:tc>
          <w:tcPr>
            <w:tcW w:type="dxa" w:w="2200"/>
          </w:tcPr>
          <w:p>
            <w:pPr>
              <w:jc w:val="center"/>
            </w:pPr>
            <w:r>
              <w:rPr>
                <w:rFonts w:ascii="Calibri" w:cs="Calibri" w:eastAsia="Calibri" w:hAnsi="Calibri"/>
                <w:sz w:val="22"/>
                <w:szCs w:val="22"/>
              </w:rPr>
              <w:t xml:space="preserve">Order Month</w:t>
            </w:r>
          </w:p>
        </w:tc>
        <w:tc>
          <w:tcPr>
            <w:tcW w:type="dxa" w:w="3000"/>
          </w:tcPr>
          <w:p>
            <w:pPr>
              <w:jc w:val="center"/>
            </w:pPr>
            <w:r>
              <w:rPr>
                <w:rFonts w:ascii="Calibri" w:cs="Calibri" w:eastAsia="Calibri" w:hAnsi="Calibri"/>
                <w:sz w:val="22"/>
                <w:szCs w:val="22"/>
              </w:rPr>
              <w:t xml:space="preserve">Year-Month from Order Date</w:t>
            </w:r>
          </w:p>
        </w:tc>
        <w:tc>
          <w:tcPr>
            <w:tcW w:type="dxa" w:w="3440"/>
          </w:tcPr>
          <w:p>
            <w:pPr>
              <w:jc w:val="center"/>
            </w:pPr>
            <w:r>
              <w:rPr>
                <w:rFonts w:ascii="Calibri" w:cs="Calibri" w:eastAsia="Calibri" w:hAnsi="Calibri"/>
                <w:sz w:val="22"/>
                <w:szCs w:val="22"/>
              </w:rPr>
              <w:t xml:space="preserve">Monthly trend analysis</w:t>
            </w:r>
          </w:p>
        </w:tc>
      </w:tr>
    </w:tbl>
    <w:p>
      <w:pPr>
        <w:spacing w:after="200"/>
      </w:pPr>
    </w:p>
    <w:p>
      <w:pPr>
        <w:pStyle w:val="Heading2"/>
        <w:spacing w:after="100" w:before="240"/>
      </w:pPr>
      <w:r>
        <w:t xml:space="preserve">3.3 Step 3: Route Definition &amp; Aggregation</w:t>
      </w:r>
    </w:p>
    <w:p>
      <w:pPr>
        <w:spacing w:after="120"/>
        <w:jc w:val="both"/>
      </w:pPr>
      <w:r>
        <w:rPr>
          <w:rFonts w:ascii="Calibri" w:cs="Calibri" w:eastAsia="Calibri" w:hAnsi="Calibri"/>
          <w:sz w:val="24"/>
          <w:szCs w:val="24"/>
        </w:rPr>
        <w:t xml:space="preserve">Each route is defined as: Factory Location → Customer State. This granularity captures both the supply-side (which factory ships) and demand-side (which state receives) dimensions of efficiency. For each route, the following metrics were aggregated:</w:t>
      </w:r>
    </w:p>
    <w:p>
      <w:pPr>
        <w:pStyle w:val="ListParagraph"/>
        <w:numPr>
          <w:ilvl w:val="0"/>
          <w:numId w:val="1"/>
        </w:numPr>
        <w:spacing w:after="60"/>
      </w:pPr>
      <w:r>
        <w:rPr>
          <w:rFonts w:ascii="Calibri" w:cs="Calibri" w:eastAsia="Calibri" w:hAnsi="Calibri"/>
          <w:sz w:val="24"/>
          <w:szCs w:val="24"/>
        </w:rPr>
        <w:t xml:space="preserve">Total Shipments: Count of orders on the route</w:t>
      </w:r>
    </w:p>
    <w:p>
      <w:pPr>
        <w:pStyle w:val="ListParagraph"/>
        <w:numPr>
          <w:ilvl w:val="0"/>
          <w:numId w:val="1"/>
        </w:numPr>
        <w:spacing w:after="60"/>
      </w:pPr>
      <w:r>
        <w:rPr>
          <w:rFonts w:ascii="Calibri" w:cs="Calibri" w:eastAsia="Calibri" w:hAnsi="Calibri"/>
          <w:sz w:val="24"/>
          <w:szCs w:val="24"/>
        </w:rPr>
        <w:t xml:space="preserve">Average Lead Time: Mean shipping duration in days</w:t>
      </w:r>
    </w:p>
    <w:p>
      <w:pPr>
        <w:pStyle w:val="ListParagraph"/>
        <w:numPr>
          <w:ilvl w:val="0"/>
          <w:numId w:val="1"/>
        </w:numPr>
        <w:spacing w:after="60"/>
      </w:pPr>
      <w:r>
        <w:rPr>
          <w:rFonts w:ascii="Calibri" w:cs="Calibri" w:eastAsia="Calibri" w:hAnsi="Calibri"/>
          <w:sz w:val="24"/>
          <w:szCs w:val="24"/>
        </w:rPr>
        <w:t xml:space="preserve">Lead Time Std Dev: Variability in shipping time</w:t>
      </w:r>
    </w:p>
    <w:p>
      <w:pPr>
        <w:pStyle w:val="ListParagraph"/>
        <w:numPr>
          <w:ilvl w:val="0"/>
          <w:numId w:val="1"/>
        </w:numPr>
        <w:spacing w:after="60"/>
      </w:pPr>
      <w:r>
        <w:rPr>
          <w:rFonts w:ascii="Calibri" w:cs="Calibri" w:eastAsia="Calibri" w:hAnsi="Calibri"/>
          <w:sz w:val="24"/>
          <w:szCs w:val="24"/>
        </w:rPr>
        <w:t xml:space="preserve">Delay Count &amp; Delay Frequency: Number and percentage of delayed shipments</w:t>
      </w:r>
    </w:p>
    <w:p>
      <w:pPr>
        <w:pStyle w:val="ListParagraph"/>
        <w:numPr>
          <w:ilvl w:val="0"/>
          <w:numId w:val="1"/>
        </w:numPr>
        <w:spacing w:after="60"/>
      </w:pPr>
      <w:r>
        <w:rPr>
          <w:rFonts w:ascii="Calibri" w:cs="Calibri" w:eastAsia="Calibri" w:hAnsi="Calibri"/>
          <w:sz w:val="24"/>
          <w:szCs w:val="24"/>
        </w:rPr>
        <w:t xml:space="preserve">Total Sales &amp; Profit: Financial volume on the route</w:t>
      </w:r>
    </w:p>
    <w:p>
      <w:pPr>
        <w:pStyle w:val="Heading2"/>
        <w:spacing w:after="100" w:before="240"/>
      </w:pPr>
      <w:r>
        <w:t xml:space="preserve">3.4 Step 4: Efficiency Benchmarking &amp; Route Scoring</w:t>
      </w:r>
    </w:p>
    <w:p>
      <w:pPr>
        <w:spacing w:after="120"/>
        <w:jc w:val="both"/>
      </w:pPr>
      <w:r>
        <w:rPr>
          <w:rFonts w:ascii="Calibri" w:cs="Calibri" w:eastAsia="Calibri" w:hAnsi="Calibri"/>
          <w:sz w:val="24"/>
          <w:szCs w:val="24"/>
        </w:rPr>
        <w:t xml:space="preserve">A composite Route Efficiency Score was developed to rank all 196 routes on a 0–100 scale:</w:t>
      </w:r>
    </w:p>
    <w:p>
      <w:pPr>
        <w:spacing w:after="120"/>
        <w:jc w:val="both"/>
      </w:pPr>
      <w:r>
        <w:rPr>
          <w:rFonts w:ascii="Calibri" w:cs="Calibri" w:eastAsia="Calibri" w:hAnsi="Calibri"/>
          <w:sz w:val="24"/>
          <w:szCs w:val="24"/>
        </w:rPr>
        <w:t xml:space="preserve">Route Efficiency Score = (1 − (0.6 × Normalized_Lead_Time + 0.4 × Normalized_Delay_Frequency)) × 100</w:t>
      </w:r>
    </w:p>
    <w:p>
      <w:pPr>
        <w:spacing w:after="120"/>
        <w:jc w:val="both"/>
      </w:pPr>
      <w:r>
        <w:rPr>
          <w:rFonts w:ascii="Calibri" w:cs="Calibri" w:eastAsia="Calibri" w:hAnsi="Calibri"/>
          <w:sz w:val="24"/>
          <w:szCs w:val="24"/>
        </w:rPr>
        <w:t xml:space="preserve">Both metrics were Min-Max normalized before weighting. A higher score indicates a more efficient route. Lead time was weighted 60% as the primary operational metric; delay frequency was weighted 40% as it reflects reliability and customer experience.</w:t>
      </w:r>
    </w:p>
    <w:p>
      <w:pPr>
        <w:pStyle w:val="Heading2"/>
        <w:spacing w:after="100" w:before="240"/>
      </w:pPr>
      <w:r>
        <w:t xml:space="preserve">3.5 Step 5: Geographic Bottleneck Analysis</w:t>
      </w:r>
    </w:p>
    <w:p>
      <w:pPr>
        <w:spacing w:after="120"/>
        <w:jc w:val="both"/>
      </w:pPr>
      <w:r>
        <w:rPr>
          <w:rFonts w:ascii="Calibri" w:cs="Calibri" w:eastAsia="Calibri" w:hAnsi="Calibri"/>
          <w:sz w:val="24"/>
          <w:szCs w:val="24"/>
        </w:rPr>
        <w:t xml:space="preserve">State-level aggregation identified regions with high average lead time combined with high shipment volume — the most operationally critical bottlenecks. States were ranked by delay rate to identify congestion-prone geographies requiring targeted intervention.</w:t>
      </w:r>
    </w:p>
    <w:p>
      <w:pPr>
        <w:pStyle w:val="Heading2"/>
        <w:spacing w:after="100" w:before="240"/>
      </w:pPr>
      <w:r>
        <w:t xml:space="preserve">3.6 Step 6: Ship Mode Performance Analysis</w:t>
      </w:r>
    </w:p>
    <w:p>
      <w:pPr>
        <w:spacing w:after="120"/>
        <w:jc w:val="both"/>
      </w:pPr>
      <w:r>
        <w:rPr>
          <w:rFonts w:ascii="Calibri" w:cs="Calibri" w:eastAsia="Calibri" w:hAnsi="Calibri"/>
          <w:sz w:val="24"/>
          <w:szCs w:val="24"/>
        </w:rPr>
        <w:t xml:space="preserve">Four shipping modes were compared — Same Day, First Class, Second Class, and Standard Class — across lead time, delay rate, cost, and sales volume. Cost-time trade-off analysis was performed to guide modal choice recommendations.</w:t>
      </w:r>
    </w:p>
    <w:p>
      <w:r>
        <w:br w:type="page"/>
      </w:r>
    </w:p>
    <w:p>
      <w:pPr>
        <w:pStyle w:val="Heading1"/>
        <w:spacing w:after="120" w:before="360"/>
      </w:pPr>
      <w:r>
        <w:t xml:space="preserve">4. Key Performance Indicators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140"/>
      </w:tblGrid>
      <w:tr>
        <w:trPr>
          <w:tblHeader/>
        </w:trPr>
        <w:tc>
          <w:tcPr>
            <w:tcW w:type="dxa" w:w="2500"/>
            <w:shd w:fill="1a1a2e" w:color="ffffff" w:val="clear"/>
          </w:tcPr>
          <w:p>
            <w:pPr>
              <w:jc w:val="center"/>
            </w:pPr>
            <w:r>
              <w:rPr>
                <w:rFonts w:ascii="Calibri" w:cs="Calibri" w:eastAsia="Calibri" w:hAnsi="Calibri"/>
                <w:b/>
                <w:bCs/>
                <w:color w:val="FFFFFF"/>
                <w:sz w:val="22"/>
                <w:szCs w:val="22"/>
              </w:rPr>
              <w:t xml:space="preserve">KPI</w:t>
            </w:r>
          </w:p>
        </w:tc>
        <w:tc>
          <w:tcPr>
            <w:tcW w:type="dxa" w:w="3000"/>
            <w:shd w:fill="1a1a2e" w:color="ffffff" w:val="clear"/>
          </w:tcPr>
          <w:p>
            <w:pPr>
              <w:jc w:val="center"/>
            </w:pPr>
            <w:r>
              <w:rPr>
                <w:rFonts w:ascii="Calibri" w:cs="Calibri" w:eastAsia="Calibri" w:hAnsi="Calibri"/>
                <w:b/>
                <w:bCs/>
                <w:color w:val="FFFFFF"/>
                <w:sz w:val="22"/>
                <w:szCs w:val="22"/>
              </w:rPr>
              <w:t xml:space="preserve">Formula</w:t>
            </w:r>
          </w:p>
        </w:tc>
        <w:tc>
          <w:tcPr>
            <w:tcW w:type="dxa" w:w="3140"/>
            <w:shd w:fill="1a1a2e" w:color="ffffff" w:val="clear"/>
          </w:tcPr>
          <w:p>
            <w:pPr>
              <w:jc w:val="center"/>
            </w:pPr>
            <w:r>
              <w:rPr>
                <w:rFonts w:ascii="Calibri" w:cs="Calibri" w:eastAsia="Calibri" w:hAnsi="Calibri"/>
                <w:b/>
                <w:bCs/>
                <w:color w:val="FFFFFF"/>
                <w:sz w:val="22"/>
                <w:szCs w:val="22"/>
              </w:rPr>
              <w:t xml:space="preserve">Value (Overall)</w:t>
            </w:r>
          </w:p>
        </w:tc>
      </w:tr>
      <w:tr>
        <w:tc>
          <w:tcPr>
            <w:tcW w:type="dxa" w:w="2500"/>
          </w:tcPr>
          <w:p>
            <w:pPr>
              <w:jc w:val="center"/>
            </w:pPr>
            <w:r>
              <w:rPr>
                <w:rFonts w:ascii="Calibri" w:cs="Calibri" w:eastAsia="Calibri" w:hAnsi="Calibri"/>
                <w:sz w:val="22"/>
                <w:szCs w:val="22"/>
              </w:rPr>
              <w:t xml:space="preserve">Shipping Lead Time</w:t>
            </w:r>
          </w:p>
        </w:tc>
        <w:tc>
          <w:tcPr>
            <w:tcW w:type="dxa" w:w="3000"/>
          </w:tcPr>
          <w:p>
            <w:pPr>
              <w:jc w:val="center"/>
            </w:pPr>
            <w:r>
              <w:rPr>
                <w:rFonts w:ascii="Calibri" w:cs="Calibri" w:eastAsia="Calibri" w:hAnsi="Calibri"/>
                <w:sz w:val="22"/>
                <w:szCs w:val="22"/>
              </w:rPr>
              <w:t xml:space="preserve">Ship Date Fixed − Order Date</w:t>
            </w:r>
          </w:p>
        </w:tc>
        <w:tc>
          <w:tcPr>
            <w:tcW w:type="dxa" w:w="3140"/>
          </w:tcPr>
          <w:p>
            <w:pPr>
              <w:jc w:val="center"/>
            </w:pPr>
            <w:r>
              <w:rPr>
                <w:rFonts w:ascii="Calibri" w:cs="Calibri" w:eastAsia="Calibri" w:hAnsi="Calibri"/>
                <w:sz w:val="22"/>
                <w:szCs w:val="22"/>
              </w:rPr>
              <w:t xml:space="preserve">173–185 days</w:t>
            </w:r>
          </w:p>
        </w:tc>
      </w:tr>
      <w:tr>
        <w:tc>
          <w:tcPr>
            <w:tcW w:type="dxa" w:w="2500"/>
            <w:shd w:fill="EEF2FF" w:color="000000" w:val="clear"/>
          </w:tcPr>
          <w:p>
            <w:pPr>
              <w:jc w:val="center"/>
            </w:pPr>
            <w:r>
              <w:rPr>
                <w:rFonts w:ascii="Calibri" w:cs="Calibri" w:eastAsia="Calibri" w:hAnsi="Calibri"/>
                <w:sz w:val="22"/>
                <w:szCs w:val="22"/>
              </w:rPr>
              <w:t xml:space="preserve">Average Lead Time</w:t>
            </w:r>
          </w:p>
        </w:tc>
        <w:tc>
          <w:tcPr>
            <w:tcW w:type="dxa" w:w="3000"/>
            <w:shd w:fill="EEF2FF" w:color="000000" w:val="clear"/>
          </w:tcPr>
          <w:p>
            <w:pPr>
              <w:jc w:val="center"/>
            </w:pPr>
            <w:r>
              <w:rPr>
                <w:rFonts w:ascii="Calibri" w:cs="Calibri" w:eastAsia="Calibri" w:hAnsi="Calibri"/>
                <w:sz w:val="22"/>
                <w:szCs w:val="22"/>
              </w:rPr>
              <w:t xml:space="preserve">Mean Lead Time across all orders</w:t>
            </w:r>
          </w:p>
        </w:tc>
        <w:tc>
          <w:tcPr>
            <w:tcW w:type="dxa" w:w="3140"/>
            <w:shd w:fill="EEF2FF" w:color="000000" w:val="clear"/>
          </w:tcPr>
          <w:p>
            <w:pPr>
              <w:jc w:val="center"/>
            </w:pPr>
            <w:r>
              <w:rPr>
                <w:rFonts w:ascii="Calibri" w:cs="Calibri" w:eastAsia="Calibri" w:hAnsi="Calibri"/>
                <w:sz w:val="22"/>
                <w:szCs w:val="22"/>
              </w:rPr>
              <w:t xml:space="preserve">177.59 days</w:t>
            </w:r>
          </w:p>
        </w:tc>
      </w:tr>
      <w:tr>
        <w:tc>
          <w:tcPr>
            <w:tcW w:type="dxa" w:w="2500"/>
          </w:tcPr>
          <w:p>
            <w:pPr>
              <w:jc w:val="center"/>
            </w:pPr>
            <w:r>
              <w:rPr>
                <w:rFonts w:ascii="Calibri" w:cs="Calibri" w:eastAsia="Calibri" w:hAnsi="Calibri"/>
                <w:sz w:val="22"/>
                <w:szCs w:val="22"/>
              </w:rPr>
              <w:t xml:space="preserve">Lead Time Std Dev</w:t>
            </w:r>
          </w:p>
        </w:tc>
        <w:tc>
          <w:tcPr>
            <w:tcW w:type="dxa" w:w="3000"/>
          </w:tcPr>
          <w:p>
            <w:pPr>
              <w:jc w:val="center"/>
            </w:pPr>
            <w:r>
              <w:rPr>
                <w:rFonts w:ascii="Calibri" w:cs="Calibri" w:eastAsia="Calibri" w:hAnsi="Calibri"/>
                <w:sz w:val="22"/>
                <w:szCs w:val="22"/>
              </w:rPr>
              <w:t xml:space="preserve">Standard deviation of lead time</w:t>
            </w:r>
          </w:p>
        </w:tc>
        <w:tc>
          <w:tcPr>
            <w:tcW w:type="dxa" w:w="3140"/>
          </w:tcPr>
          <w:p>
            <w:pPr>
              <w:jc w:val="center"/>
            </w:pPr>
            <w:r>
              <w:rPr>
                <w:rFonts w:ascii="Calibri" w:cs="Calibri" w:eastAsia="Calibri" w:hAnsi="Calibri"/>
                <w:sz w:val="22"/>
                <w:szCs w:val="22"/>
              </w:rPr>
              <w:t xml:space="preserve">1.82 days</w:t>
            </w:r>
          </w:p>
        </w:tc>
      </w:tr>
      <w:tr>
        <w:tc>
          <w:tcPr>
            <w:tcW w:type="dxa" w:w="2500"/>
            <w:shd w:fill="EEF2FF" w:color="000000" w:val="clear"/>
          </w:tcPr>
          <w:p>
            <w:pPr>
              <w:jc w:val="center"/>
            </w:pPr>
            <w:r>
              <w:rPr>
                <w:rFonts w:ascii="Calibri" w:cs="Calibri" w:eastAsia="Calibri" w:hAnsi="Calibri"/>
                <w:sz w:val="22"/>
                <w:szCs w:val="22"/>
              </w:rPr>
              <w:t xml:space="preserve">Delay Threshold</w:t>
            </w:r>
          </w:p>
        </w:tc>
        <w:tc>
          <w:tcPr>
            <w:tcW w:type="dxa" w:w="3000"/>
            <w:shd w:fill="EEF2FF" w:color="000000" w:val="clear"/>
          </w:tcPr>
          <w:p>
            <w:pPr>
              <w:jc w:val="center"/>
            </w:pPr>
            <w:r>
              <w:rPr>
                <w:rFonts w:ascii="Calibri" w:cs="Calibri" w:eastAsia="Calibri" w:hAnsi="Calibri"/>
                <w:sz w:val="22"/>
                <w:szCs w:val="22"/>
              </w:rPr>
              <w:t xml:space="preserve">75th percentile of Lead Time</w:t>
            </w:r>
          </w:p>
        </w:tc>
        <w:tc>
          <w:tcPr>
            <w:tcW w:type="dxa" w:w="3140"/>
            <w:shd w:fill="EEF2FF" w:color="000000" w:val="clear"/>
          </w:tcPr>
          <w:p>
            <w:pPr>
              <w:jc w:val="center"/>
            </w:pPr>
            <w:r>
              <w:rPr>
                <w:rFonts w:ascii="Calibri" w:cs="Calibri" w:eastAsia="Calibri" w:hAnsi="Calibri"/>
                <w:sz w:val="22"/>
                <w:szCs w:val="22"/>
              </w:rPr>
              <w:t xml:space="preserve">179 days</w:t>
            </w:r>
          </w:p>
        </w:tc>
      </w:tr>
      <w:tr>
        <w:tc>
          <w:tcPr>
            <w:tcW w:type="dxa" w:w="2500"/>
          </w:tcPr>
          <w:p>
            <w:pPr>
              <w:jc w:val="center"/>
            </w:pPr>
            <w:r>
              <w:rPr>
                <w:rFonts w:ascii="Calibri" w:cs="Calibri" w:eastAsia="Calibri" w:hAnsi="Calibri"/>
                <w:sz w:val="22"/>
                <w:szCs w:val="22"/>
              </w:rPr>
              <w:t xml:space="preserve">Overall Delay Rate</w:t>
            </w:r>
          </w:p>
        </w:tc>
        <w:tc>
          <w:tcPr>
            <w:tcW w:type="dxa" w:w="3000"/>
          </w:tcPr>
          <w:p>
            <w:pPr>
              <w:jc w:val="center"/>
            </w:pPr>
            <w:r>
              <w:rPr>
                <w:rFonts w:ascii="Calibri" w:cs="Calibri" w:eastAsia="Calibri" w:hAnsi="Calibri"/>
                <w:sz w:val="22"/>
                <w:szCs w:val="22"/>
              </w:rPr>
              <w:t xml:space="preserve">% orders with Lead Time &gt; threshold</w:t>
            </w:r>
          </w:p>
        </w:tc>
        <w:tc>
          <w:tcPr>
            <w:tcW w:type="dxa" w:w="3140"/>
          </w:tcPr>
          <w:p>
            <w:pPr>
              <w:jc w:val="center"/>
            </w:pPr>
            <w:r>
              <w:rPr>
                <w:rFonts w:ascii="Calibri" w:cs="Calibri" w:eastAsia="Calibri" w:hAnsi="Calibri"/>
                <w:sz w:val="22"/>
                <w:szCs w:val="22"/>
              </w:rPr>
              <w:t xml:space="preserve">13.83%</w:t>
            </w:r>
          </w:p>
        </w:tc>
      </w:tr>
      <w:tr>
        <w:tc>
          <w:tcPr>
            <w:tcW w:type="dxa" w:w="2500"/>
            <w:shd w:fill="EEF2FF" w:color="000000" w:val="clear"/>
          </w:tcPr>
          <w:p>
            <w:pPr>
              <w:jc w:val="center"/>
            </w:pPr>
            <w:r>
              <w:rPr>
                <w:rFonts w:ascii="Calibri" w:cs="Calibri" w:eastAsia="Calibri" w:hAnsi="Calibri"/>
                <w:sz w:val="22"/>
                <w:szCs w:val="22"/>
              </w:rPr>
              <w:t xml:space="preserve">Total Routes</w:t>
            </w:r>
          </w:p>
        </w:tc>
        <w:tc>
          <w:tcPr>
            <w:tcW w:type="dxa" w:w="3000"/>
            <w:shd w:fill="EEF2FF" w:color="000000" w:val="clear"/>
          </w:tcPr>
          <w:p>
            <w:pPr>
              <w:jc w:val="center"/>
            </w:pPr>
            <w:r>
              <w:rPr>
                <w:rFonts w:ascii="Calibri" w:cs="Calibri" w:eastAsia="Calibri" w:hAnsi="Calibri"/>
                <w:sz w:val="22"/>
                <w:szCs w:val="22"/>
              </w:rPr>
              <w:t xml:space="preserve">Unique Factory → State combinations</w:t>
            </w:r>
          </w:p>
        </w:tc>
        <w:tc>
          <w:tcPr>
            <w:tcW w:type="dxa" w:w="3140"/>
            <w:shd w:fill="EEF2FF" w:color="000000" w:val="clear"/>
          </w:tcPr>
          <w:p>
            <w:pPr>
              <w:jc w:val="center"/>
            </w:pPr>
            <w:r>
              <w:rPr>
                <w:rFonts w:ascii="Calibri" w:cs="Calibri" w:eastAsia="Calibri" w:hAnsi="Calibri"/>
                <w:sz w:val="22"/>
                <w:szCs w:val="22"/>
              </w:rPr>
              <w:t xml:space="preserve">196 routes</w:t>
            </w:r>
          </w:p>
        </w:tc>
      </w:tr>
      <w:tr>
        <w:tc>
          <w:tcPr>
            <w:tcW w:type="dxa" w:w="2500"/>
          </w:tcPr>
          <w:p>
            <w:pPr>
              <w:jc w:val="center"/>
            </w:pPr>
            <w:r>
              <w:rPr>
                <w:rFonts w:ascii="Calibri" w:cs="Calibri" w:eastAsia="Calibri" w:hAnsi="Calibri"/>
                <w:sz w:val="22"/>
                <w:szCs w:val="22"/>
              </w:rPr>
              <w:t xml:space="preserve">Top Efficiency Score</w:t>
            </w:r>
          </w:p>
        </w:tc>
        <w:tc>
          <w:tcPr>
            <w:tcW w:type="dxa" w:w="3000"/>
          </w:tcPr>
          <w:p>
            <w:pPr>
              <w:jc w:val="center"/>
            </w:pPr>
            <w:r>
              <w:rPr>
                <w:rFonts w:ascii="Calibri" w:cs="Calibri" w:eastAsia="Calibri" w:hAnsi="Calibri"/>
                <w:sz w:val="22"/>
                <w:szCs w:val="22"/>
              </w:rPr>
              <w:t xml:space="preserve">Best route score (0–100)</w:t>
            </w:r>
          </w:p>
        </w:tc>
        <w:tc>
          <w:tcPr>
            <w:tcW w:type="dxa" w:w="3140"/>
          </w:tcPr>
          <w:p>
            <w:pPr>
              <w:jc w:val="center"/>
            </w:pPr>
            <w:r>
              <w:rPr>
                <w:rFonts w:ascii="Calibri" w:cs="Calibri" w:eastAsia="Calibri" w:hAnsi="Calibri"/>
                <w:sz w:val="22"/>
                <w:szCs w:val="22"/>
              </w:rPr>
              <w:t xml:space="preserve">100.0</w:t>
            </w:r>
          </w:p>
        </w:tc>
      </w:tr>
      <w:tr>
        <w:tc>
          <w:tcPr>
            <w:tcW w:type="dxa" w:w="2500"/>
            <w:shd w:fill="EEF2FF" w:color="000000" w:val="clear"/>
          </w:tcPr>
          <w:p>
            <w:pPr>
              <w:jc w:val="center"/>
            </w:pPr>
            <w:r>
              <w:rPr>
                <w:rFonts w:ascii="Calibri" w:cs="Calibri" w:eastAsia="Calibri" w:hAnsi="Calibri"/>
                <w:sz w:val="22"/>
                <w:szCs w:val="22"/>
              </w:rPr>
              <w:t xml:space="preserve">Bottom Efficiency Score</w:t>
            </w:r>
          </w:p>
        </w:tc>
        <w:tc>
          <w:tcPr>
            <w:tcW w:type="dxa" w:w="3000"/>
            <w:shd w:fill="EEF2FF" w:color="000000" w:val="clear"/>
          </w:tcPr>
          <w:p>
            <w:pPr>
              <w:jc w:val="center"/>
            </w:pPr>
            <w:r>
              <w:rPr>
                <w:rFonts w:ascii="Calibri" w:cs="Calibri" w:eastAsia="Calibri" w:hAnsi="Calibri"/>
                <w:sz w:val="22"/>
                <w:szCs w:val="22"/>
              </w:rPr>
              <w:t xml:space="preserve">Worst route score (0–100)</w:t>
            </w:r>
          </w:p>
        </w:tc>
        <w:tc>
          <w:tcPr>
            <w:tcW w:type="dxa" w:w="3140"/>
            <w:shd w:fill="EEF2FF" w:color="000000" w:val="clear"/>
          </w:tcPr>
          <w:p>
            <w:pPr>
              <w:jc w:val="center"/>
            </w:pPr>
            <w:r>
              <w:rPr>
                <w:rFonts w:ascii="Calibri" w:cs="Calibri" w:eastAsia="Calibri" w:hAnsi="Calibri"/>
                <w:sz w:val="22"/>
                <w:szCs w:val="22"/>
              </w:rPr>
              <w:t xml:space="preserve">4.0</w:t>
            </w:r>
          </w:p>
        </w:tc>
      </w:tr>
      <w:tr>
        <w:tc>
          <w:tcPr>
            <w:tcW w:type="dxa" w:w="2500"/>
          </w:tcPr>
          <w:p>
            <w:pPr>
              <w:jc w:val="center"/>
            </w:pPr>
            <w:r>
              <w:rPr>
                <w:rFonts w:ascii="Calibri" w:cs="Calibri" w:eastAsia="Calibri" w:hAnsi="Calibri"/>
                <w:sz w:val="22"/>
                <w:szCs w:val="22"/>
              </w:rPr>
              <w:t xml:space="preserve">Total Sales</w:t>
            </w:r>
          </w:p>
        </w:tc>
        <w:tc>
          <w:tcPr>
            <w:tcW w:type="dxa" w:w="3000"/>
          </w:tcPr>
          <w:p>
            <w:pPr>
              <w:jc w:val="center"/>
            </w:pPr>
            <w:r>
              <w:rPr>
                <w:rFonts w:ascii="Calibri" w:cs="Calibri" w:eastAsia="Calibri" w:hAnsi="Calibri"/>
                <w:sz w:val="22"/>
                <w:szCs w:val="22"/>
              </w:rPr>
              <w:t xml:space="preserve">Sum of all order sales</w:t>
            </w:r>
          </w:p>
        </w:tc>
        <w:tc>
          <w:tcPr>
            <w:tcW w:type="dxa" w:w="3140"/>
          </w:tcPr>
          <w:p>
            <w:pPr>
              <w:jc w:val="center"/>
            </w:pPr>
            <w:r>
              <w:rPr>
                <w:rFonts w:ascii="Calibri" w:cs="Calibri" w:eastAsia="Calibri" w:hAnsi="Calibri"/>
                <w:sz w:val="22"/>
                <w:szCs w:val="22"/>
              </w:rPr>
              <w:t xml:space="preserve">$141,783.63</w:t>
            </w:r>
          </w:p>
        </w:tc>
      </w:tr>
      <w:tr>
        <w:tc>
          <w:tcPr>
            <w:tcW w:type="dxa" w:w="2500"/>
            <w:shd w:fill="EEF2FF" w:color="000000" w:val="clear"/>
          </w:tcPr>
          <w:p>
            <w:pPr>
              <w:jc w:val="center"/>
            </w:pPr>
            <w:r>
              <w:rPr>
                <w:rFonts w:ascii="Calibri" w:cs="Calibri" w:eastAsia="Calibri" w:hAnsi="Calibri"/>
                <w:sz w:val="22"/>
                <w:szCs w:val="22"/>
              </w:rPr>
              <w:t xml:space="preserve">Total Gross Profit</w:t>
            </w:r>
          </w:p>
        </w:tc>
        <w:tc>
          <w:tcPr>
            <w:tcW w:type="dxa" w:w="3000"/>
            <w:shd w:fill="EEF2FF" w:color="000000" w:val="clear"/>
          </w:tcPr>
          <w:p>
            <w:pPr>
              <w:jc w:val="center"/>
            </w:pPr>
            <w:r>
              <w:rPr>
                <w:rFonts w:ascii="Calibri" w:cs="Calibri" w:eastAsia="Calibri" w:hAnsi="Calibri"/>
                <w:sz w:val="22"/>
                <w:szCs w:val="22"/>
              </w:rPr>
              <w:t xml:space="preserve">Sum of Gross Profit across orders</w:t>
            </w:r>
          </w:p>
        </w:tc>
        <w:tc>
          <w:tcPr>
            <w:tcW w:type="dxa" w:w="3140"/>
            <w:shd w:fill="EEF2FF" w:color="000000" w:val="clear"/>
          </w:tcPr>
          <w:p>
            <w:pPr>
              <w:jc w:val="center"/>
            </w:pPr>
            <w:r>
              <w:rPr>
                <w:rFonts w:ascii="Calibri" w:cs="Calibri" w:eastAsia="Calibri" w:hAnsi="Calibri"/>
                <w:sz w:val="22"/>
                <w:szCs w:val="22"/>
              </w:rPr>
              <w:t xml:space="preserve">Positive</w:t>
            </w:r>
          </w:p>
        </w:tc>
      </w:tr>
    </w:tbl>
    <w:p>
      <w:pPr>
        <w:spacing w:after="200"/>
      </w:pPr>
    </w:p>
    <w:p>
      <w:r>
        <w:br w:type="page"/>
      </w:r>
    </w:p>
    <w:p>
      <w:pPr>
        <w:pStyle w:val="Heading1"/>
        <w:spacing w:after="120" w:before="360"/>
      </w:pPr>
      <w:r>
        <w:t xml:space="preserve">5. Key Findings &amp; EDA Results</w:t>
      </w:r>
    </w:p>
    <w:p>
      <w:pPr>
        <w:pStyle w:val="Heading2"/>
        <w:spacing w:after="100" w:before="240"/>
      </w:pPr>
      <w:r>
        <w:t xml:space="preserve">5.1 Overall Dataset Profile</w:t>
      </w:r>
    </w:p>
    <w:p>
      <w:pPr>
        <w:spacing w:after="120"/>
        <w:jc w:val="both"/>
      </w:pPr>
      <w:r>
        <w:rPr>
          <w:rFonts w:ascii="Calibri" w:cs="Calibri" w:eastAsia="Calibri" w:hAnsi="Calibri"/>
          <w:sz w:val="24"/>
          <w:szCs w:val="24"/>
        </w:rPr>
        <w:t xml:space="preserve">The cleaned dataset contains 10,194 valid shipment records with no missing values. Lead times range from 173 to 185 days with a mean of 177.59 days and a very low standard deviation of 1.82 days, indicating relatively consistent shipping durations across the network. The delay threshold (75th percentile) is 179 days.</w:t>
      </w:r>
    </w:p>
    <w:p>
      <w:pPr>
        <w:pStyle w:val="Heading2"/>
        <w:spacing w:after="100" w:before="240"/>
      </w:pPr>
      <w:r>
        <w:t xml:space="preserve">5.2 Factory-Level Performance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00"/>
        <w:gridCol w:w="1440"/>
        <w:gridCol w:w="1800"/>
        <w:gridCol w:w="1800"/>
        <w:gridCol w:w="1100"/>
      </w:tblGrid>
      <w:tr>
        <w:trPr>
          <w:tblHeader/>
        </w:trPr>
        <w:tc>
          <w:tcPr>
            <w:tcW w:type="dxa" w:w="2500"/>
            <w:shd w:fill="1a1a2e" w:color="ffffff" w:val="clear"/>
          </w:tcPr>
          <w:p>
            <w:pPr>
              <w:jc w:val="center"/>
            </w:pPr>
            <w:r>
              <w:rPr>
                <w:rFonts w:ascii="Calibri" w:cs="Calibri" w:eastAsia="Calibri" w:hAnsi="Calibri"/>
                <w:b/>
                <w:bCs/>
                <w:color w:val="FFFFFF"/>
                <w:sz w:val="22"/>
                <w:szCs w:val="22"/>
              </w:rPr>
              <w:t xml:space="preserve">Factory</w:t>
            </w:r>
          </w:p>
        </w:tc>
        <w:tc>
          <w:tcPr>
            <w:tcW w:type="dxa" w:w="1440"/>
            <w:shd w:fill="1a1a2e" w:color="ffffff" w:val="clear"/>
          </w:tcPr>
          <w:p>
            <w:pPr>
              <w:jc w:val="center"/>
            </w:pPr>
            <w:r>
              <w:rPr>
                <w:rFonts w:ascii="Calibri" w:cs="Calibri" w:eastAsia="Calibri" w:hAnsi="Calibri"/>
                <w:b/>
                <w:bCs/>
                <w:color w:val="FFFFFF"/>
                <w:sz w:val="22"/>
                <w:szCs w:val="22"/>
              </w:rPr>
              <w:t xml:space="preserve">Orders</w:t>
            </w:r>
          </w:p>
        </w:tc>
        <w:tc>
          <w:tcPr>
            <w:tcW w:type="dxa" w:w="1800"/>
            <w:shd w:fill="1a1a2e" w:color="ffffff" w:val="clear"/>
          </w:tcPr>
          <w:p>
            <w:pPr>
              <w:jc w:val="center"/>
            </w:pPr>
            <w:r>
              <w:rPr>
                <w:rFonts w:ascii="Calibri" w:cs="Calibri" w:eastAsia="Calibri" w:hAnsi="Calibri"/>
                <w:b/>
                <w:bCs/>
                <w:color w:val="FFFFFF"/>
                <w:sz w:val="22"/>
                <w:szCs w:val="22"/>
              </w:rPr>
              <w:t xml:space="preserve">Avg Lead Time (d)</w:t>
            </w:r>
          </w:p>
        </w:tc>
        <w:tc>
          <w:tcPr>
            <w:tcW w:type="dxa" w:w="1800"/>
            <w:shd w:fill="1a1a2e" w:color="ffffff" w:val="clear"/>
          </w:tcPr>
          <w:p>
            <w:pPr>
              <w:jc w:val="center"/>
            </w:pPr>
            <w:r>
              <w:rPr>
                <w:rFonts w:ascii="Calibri" w:cs="Calibri" w:eastAsia="Calibri" w:hAnsi="Calibri"/>
                <w:b/>
                <w:bCs/>
                <w:color w:val="FFFFFF"/>
                <w:sz w:val="22"/>
                <w:szCs w:val="22"/>
              </w:rPr>
              <w:t xml:space="preserve">Delay Rate (%)</w:t>
            </w:r>
          </w:p>
        </w:tc>
        <w:tc>
          <w:tcPr>
            <w:tcW w:type="dxa" w:w="1100"/>
            <w:shd w:fill="1a1a2e" w:color="ffffff" w:val="clear"/>
          </w:tcPr>
          <w:p>
            <w:pPr>
              <w:jc w:val="center"/>
            </w:pPr>
            <w:r>
              <w:rPr>
                <w:rFonts w:ascii="Calibri" w:cs="Calibri" w:eastAsia="Calibri" w:hAnsi="Calibri"/>
                <w:b/>
                <w:bCs/>
                <w:color w:val="FFFFFF"/>
                <w:sz w:val="22"/>
                <w:szCs w:val="22"/>
              </w:rPr>
              <w:t xml:space="preserve">Avg Sales ($)</w:t>
            </w:r>
          </w:p>
        </w:tc>
      </w:tr>
      <w:tr>
        <w:tc>
          <w:tcPr>
            <w:tcW w:type="dxa" w:w="2500"/>
          </w:tcPr>
          <w:p>
            <w:pPr>
              <w:jc w:val="center"/>
            </w:pPr>
            <w:r>
              <w:rPr>
                <w:rFonts w:ascii="Calibri" w:cs="Calibri" w:eastAsia="Calibri" w:hAnsi="Calibri"/>
                <w:sz w:val="22"/>
                <w:szCs w:val="22"/>
              </w:rPr>
              <w:t xml:space="preserve">Lot's O' Nuts</w:t>
            </w:r>
          </w:p>
        </w:tc>
        <w:tc>
          <w:tcPr>
            <w:tcW w:type="dxa" w:w="1440"/>
          </w:tcPr>
          <w:p>
            <w:pPr>
              <w:jc w:val="center"/>
            </w:pPr>
            <w:r>
              <w:rPr>
                <w:rFonts w:ascii="Calibri" w:cs="Calibri" w:eastAsia="Calibri" w:hAnsi="Calibri"/>
                <w:sz w:val="22"/>
                <w:szCs w:val="22"/>
              </w:rPr>
              <w:t xml:space="preserve">5,692</w:t>
            </w:r>
          </w:p>
        </w:tc>
        <w:tc>
          <w:tcPr>
            <w:tcW w:type="dxa" w:w="1800"/>
          </w:tcPr>
          <w:p>
            <w:pPr>
              <w:jc w:val="center"/>
            </w:pPr>
            <w:r>
              <w:rPr>
                <w:rFonts w:ascii="Calibri" w:cs="Calibri" w:eastAsia="Calibri" w:hAnsi="Calibri"/>
                <w:sz w:val="22"/>
                <w:szCs w:val="22"/>
              </w:rPr>
              <w:t xml:space="preserve">177.56</w:t>
            </w:r>
          </w:p>
        </w:tc>
        <w:tc>
          <w:tcPr>
            <w:tcW w:type="dxa" w:w="1800"/>
          </w:tcPr>
          <w:p>
            <w:pPr>
              <w:jc w:val="center"/>
            </w:pPr>
            <w:r>
              <w:rPr>
                <w:rFonts w:ascii="Calibri" w:cs="Calibri" w:eastAsia="Calibri" w:hAnsi="Calibri"/>
                <w:sz w:val="22"/>
                <w:szCs w:val="22"/>
              </w:rPr>
              <w:t xml:space="preserve">13.25%</w:t>
            </w:r>
          </w:p>
        </w:tc>
        <w:tc>
          <w:tcPr>
            <w:tcW w:type="dxa" w:w="1100"/>
          </w:tcPr>
          <w:p>
            <w:pPr>
              <w:jc w:val="center"/>
            </w:pPr>
            <w:r>
              <w:rPr>
                <w:rFonts w:ascii="Calibri" w:cs="Calibri" w:eastAsia="Calibri" w:hAnsi="Calibri"/>
                <w:sz w:val="22"/>
                <w:szCs w:val="22"/>
              </w:rPr>
              <w:t xml:space="preserve">$13.41</w:t>
            </w:r>
          </w:p>
        </w:tc>
      </w:tr>
      <w:tr>
        <w:tc>
          <w:tcPr>
            <w:tcW w:type="dxa" w:w="2500"/>
            <w:shd w:fill="EEF2FF" w:color="000000" w:val="clear"/>
          </w:tcPr>
          <w:p>
            <w:pPr>
              <w:jc w:val="center"/>
            </w:pPr>
            <w:r>
              <w:rPr>
                <w:rFonts w:ascii="Calibri" w:cs="Calibri" w:eastAsia="Calibri" w:hAnsi="Calibri"/>
                <w:sz w:val="22"/>
                <w:szCs w:val="22"/>
              </w:rPr>
              <w:t xml:space="preserve">Wicked Choccy's</w:t>
            </w:r>
          </w:p>
        </w:tc>
        <w:tc>
          <w:tcPr>
            <w:tcW w:type="dxa" w:w="1440"/>
            <w:shd w:fill="EEF2FF" w:color="000000" w:val="clear"/>
          </w:tcPr>
          <w:p>
            <w:pPr>
              <w:jc w:val="center"/>
            </w:pPr>
            <w:r>
              <w:rPr>
                <w:rFonts w:ascii="Calibri" w:cs="Calibri" w:eastAsia="Calibri" w:hAnsi="Calibri"/>
                <w:sz w:val="22"/>
                <w:szCs w:val="22"/>
              </w:rPr>
              <w:t xml:space="preserve">4,152</w:t>
            </w:r>
          </w:p>
        </w:tc>
        <w:tc>
          <w:tcPr>
            <w:tcW w:type="dxa" w:w="1800"/>
            <w:shd w:fill="EEF2FF" w:color="000000" w:val="clear"/>
          </w:tcPr>
          <w:p>
            <w:pPr>
              <w:jc w:val="center"/>
            </w:pPr>
            <w:r>
              <w:rPr>
                <w:rFonts w:ascii="Calibri" w:cs="Calibri" w:eastAsia="Calibri" w:hAnsi="Calibri"/>
                <w:sz w:val="22"/>
                <w:szCs w:val="22"/>
              </w:rPr>
              <w:t xml:space="preserve">177.66</w:t>
            </w:r>
          </w:p>
        </w:tc>
        <w:tc>
          <w:tcPr>
            <w:tcW w:type="dxa" w:w="1800"/>
            <w:shd w:fill="EEF2FF" w:color="000000" w:val="clear"/>
          </w:tcPr>
          <w:p>
            <w:pPr>
              <w:jc w:val="center"/>
            </w:pPr>
            <w:r>
              <w:rPr>
                <w:rFonts w:ascii="Calibri" w:cs="Calibri" w:eastAsia="Calibri" w:hAnsi="Calibri"/>
                <w:sz w:val="22"/>
                <w:szCs w:val="22"/>
              </w:rPr>
              <w:t xml:space="preserve">14.26%</w:t>
            </w:r>
          </w:p>
        </w:tc>
        <w:tc>
          <w:tcPr>
            <w:tcW w:type="dxa" w:w="1100"/>
            <w:shd w:fill="EEF2FF" w:color="000000" w:val="clear"/>
          </w:tcPr>
          <w:p>
            <w:pPr>
              <w:jc w:val="center"/>
            </w:pPr>
            <w:r>
              <w:rPr>
                <w:rFonts w:ascii="Calibri" w:cs="Calibri" w:eastAsia="Calibri" w:hAnsi="Calibri"/>
                <w:sz w:val="22"/>
                <w:szCs w:val="22"/>
              </w:rPr>
              <w:t xml:space="preserve">$13.33</w:t>
            </w:r>
          </w:p>
        </w:tc>
      </w:tr>
      <w:tr>
        <w:tc>
          <w:tcPr>
            <w:tcW w:type="dxa" w:w="2500"/>
          </w:tcPr>
          <w:p>
            <w:pPr>
              <w:jc w:val="center"/>
            </w:pPr>
            <w:r>
              <w:rPr>
                <w:rFonts w:ascii="Calibri" w:cs="Calibri" w:eastAsia="Calibri" w:hAnsi="Calibri"/>
                <w:sz w:val="22"/>
                <w:szCs w:val="22"/>
              </w:rPr>
              <w:t xml:space="preserve">Secret Factory</w:t>
            </w:r>
          </w:p>
        </w:tc>
        <w:tc>
          <w:tcPr>
            <w:tcW w:type="dxa" w:w="1440"/>
          </w:tcPr>
          <w:p>
            <w:pPr>
              <w:jc w:val="center"/>
            </w:pPr>
            <w:r>
              <w:rPr>
                <w:rFonts w:ascii="Calibri" w:cs="Calibri" w:eastAsia="Calibri" w:hAnsi="Calibri"/>
                <w:sz w:val="22"/>
                <w:szCs w:val="22"/>
              </w:rPr>
              <w:t xml:space="preserve">217</w:t>
            </w:r>
          </w:p>
        </w:tc>
        <w:tc>
          <w:tcPr>
            <w:tcW w:type="dxa" w:w="1800"/>
          </w:tcPr>
          <w:p>
            <w:pPr>
              <w:jc w:val="center"/>
            </w:pPr>
            <w:r>
              <w:rPr>
                <w:rFonts w:ascii="Calibri" w:cs="Calibri" w:eastAsia="Calibri" w:hAnsi="Calibri"/>
                <w:sz w:val="22"/>
                <w:szCs w:val="22"/>
              </w:rPr>
              <w:t xml:space="preserve">177.39</w:t>
            </w:r>
          </w:p>
        </w:tc>
        <w:tc>
          <w:tcPr>
            <w:tcW w:type="dxa" w:w="1800"/>
          </w:tcPr>
          <w:p>
            <w:pPr>
              <w:jc w:val="center"/>
            </w:pPr>
            <w:r>
              <w:rPr>
                <w:rFonts w:ascii="Calibri" w:cs="Calibri" w:eastAsia="Calibri" w:hAnsi="Calibri"/>
                <w:sz w:val="22"/>
                <w:szCs w:val="22"/>
              </w:rPr>
              <w:t xml:space="preserve">10.60%</w:t>
            </w:r>
          </w:p>
        </w:tc>
        <w:tc>
          <w:tcPr>
            <w:tcW w:type="dxa" w:w="1100"/>
          </w:tcPr>
          <w:p>
            <w:pPr>
              <w:jc w:val="center"/>
            </w:pPr>
            <w:r>
              <w:rPr>
                <w:rFonts w:ascii="Calibri" w:cs="Calibri" w:eastAsia="Calibri" w:hAnsi="Calibri"/>
                <w:sz w:val="22"/>
                <w:szCs w:val="22"/>
              </w:rPr>
              <w:t xml:space="preserve">$39.57</w:t>
            </w:r>
          </w:p>
        </w:tc>
      </w:tr>
      <w:tr>
        <w:tc>
          <w:tcPr>
            <w:tcW w:type="dxa" w:w="2500"/>
            <w:shd w:fill="EEF2FF" w:color="000000" w:val="clear"/>
          </w:tcPr>
          <w:p>
            <w:pPr>
              <w:jc w:val="center"/>
            </w:pPr>
            <w:r>
              <w:rPr>
                <w:rFonts w:ascii="Calibri" w:cs="Calibri" w:eastAsia="Calibri" w:hAnsi="Calibri"/>
                <w:sz w:val="22"/>
                <w:szCs w:val="22"/>
              </w:rPr>
              <w:t xml:space="preserve">The Other Factory</w:t>
            </w:r>
          </w:p>
        </w:tc>
        <w:tc>
          <w:tcPr>
            <w:tcW w:type="dxa" w:w="1440"/>
            <w:shd w:fill="EEF2FF" w:color="000000" w:val="clear"/>
          </w:tcPr>
          <w:p>
            <w:pPr>
              <w:jc w:val="center"/>
            </w:pPr>
            <w:r>
              <w:rPr>
                <w:rFonts w:ascii="Calibri" w:cs="Calibri" w:eastAsia="Calibri" w:hAnsi="Calibri"/>
                <w:sz w:val="22"/>
                <w:szCs w:val="22"/>
              </w:rPr>
              <w:t xml:space="preserve">100</w:t>
            </w:r>
          </w:p>
        </w:tc>
        <w:tc>
          <w:tcPr>
            <w:tcW w:type="dxa" w:w="1800"/>
            <w:shd w:fill="EEF2FF" w:color="000000" w:val="clear"/>
          </w:tcPr>
          <w:p>
            <w:pPr>
              <w:jc w:val="center"/>
            </w:pPr>
            <w:r>
              <w:rPr>
                <w:rFonts w:ascii="Calibri" w:cs="Calibri" w:eastAsia="Calibri" w:hAnsi="Calibri"/>
                <w:sz w:val="22"/>
                <w:szCs w:val="22"/>
              </w:rPr>
              <w:t xml:space="preserve">177.29</w:t>
            </w:r>
          </w:p>
        </w:tc>
        <w:tc>
          <w:tcPr>
            <w:tcW w:type="dxa" w:w="1800"/>
            <w:shd w:fill="EEF2FF" w:color="000000" w:val="clear"/>
          </w:tcPr>
          <w:p>
            <w:pPr>
              <w:jc w:val="center"/>
            </w:pPr>
            <w:r>
              <w:rPr>
                <w:rFonts w:ascii="Calibri" w:cs="Calibri" w:eastAsia="Calibri" w:hAnsi="Calibri"/>
                <w:sz w:val="22"/>
                <w:szCs w:val="22"/>
              </w:rPr>
              <w:t xml:space="preserve">10.00%</w:t>
            </w:r>
          </w:p>
        </w:tc>
        <w:tc>
          <w:tcPr>
            <w:tcW w:type="dxa" w:w="1100"/>
            <w:shd w:fill="EEF2FF" w:color="000000" w:val="clear"/>
          </w:tcPr>
          <w:p>
            <w:pPr>
              <w:jc w:val="center"/>
            </w:pPr>
            <w:r>
              <w:rPr>
                <w:rFonts w:ascii="Calibri" w:cs="Calibri" w:eastAsia="Calibri" w:hAnsi="Calibri"/>
                <w:sz w:val="22"/>
                <w:szCs w:val="22"/>
              </w:rPr>
              <w:t xml:space="preserve">$12.82</w:t>
            </w:r>
          </w:p>
        </w:tc>
      </w:tr>
      <w:tr>
        <w:tc>
          <w:tcPr>
            <w:tcW w:type="dxa" w:w="2500"/>
          </w:tcPr>
          <w:p>
            <w:pPr>
              <w:jc w:val="center"/>
            </w:pPr>
            <w:r>
              <w:rPr>
                <w:rFonts w:ascii="Calibri" w:cs="Calibri" w:eastAsia="Calibri" w:hAnsi="Calibri"/>
                <w:sz w:val="22"/>
                <w:szCs w:val="22"/>
              </w:rPr>
              <w:t xml:space="preserve">Sugar Shack</w:t>
            </w:r>
          </w:p>
        </w:tc>
        <w:tc>
          <w:tcPr>
            <w:tcW w:type="dxa" w:w="1440"/>
          </w:tcPr>
          <w:p>
            <w:pPr>
              <w:jc w:val="center"/>
            </w:pPr>
            <w:r>
              <w:rPr>
                <w:rFonts w:ascii="Calibri" w:cs="Calibri" w:eastAsia="Calibri" w:hAnsi="Calibri"/>
                <w:sz w:val="22"/>
                <w:szCs w:val="22"/>
              </w:rPr>
              <w:t xml:space="preserve">33</w:t>
            </w:r>
          </w:p>
        </w:tc>
        <w:tc>
          <w:tcPr>
            <w:tcW w:type="dxa" w:w="1800"/>
          </w:tcPr>
          <w:p>
            <w:pPr>
              <w:jc w:val="center"/>
            </w:pPr>
            <w:r>
              <w:rPr>
                <w:rFonts w:ascii="Calibri" w:cs="Calibri" w:eastAsia="Calibri" w:hAnsi="Calibri"/>
                <w:sz w:val="22"/>
                <w:szCs w:val="22"/>
              </w:rPr>
              <w:t xml:space="preserve">177.91</w:t>
            </w:r>
          </w:p>
        </w:tc>
        <w:tc>
          <w:tcPr>
            <w:tcW w:type="dxa" w:w="1800"/>
          </w:tcPr>
          <w:p>
            <w:pPr>
              <w:jc w:val="center"/>
            </w:pPr>
            <w:r>
              <w:rPr>
                <w:rFonts w:ascii="Calibri" w:cs="Calibri" w:eastAsia="Calibri" w:hAnsi="Calibri"/>
                <w:sz w:val="22"/>
                <w:szCs w:val="22"/>
              </w:rPr>
              <w:t xml:space="preserve">12.12%</w:t>
            </w:r>
          </w:p>
        </w:tc>
        <w:tc>
          <w:tcPr>
            <w:tcW w:type="dxa" w:w="1100"/>
          </w:tcPr>
          <w:p>
            <w:pPr>
              <w:jc w:val="center"/>
            </w:pPr>
            <w:r>
              <w:rPr>
                <w:rFonts w:ascii="Calibri" w:cs="Calibri" w:eastAsia="Calibri" w:hAnsi="Calibri"/>
                <w:sz w:val="22"/>
                <w:szCs w:val="22"/>
              </w:rPr>
              <w:t xml:space="preserve">$6.70</w:t>
            </w:r>
          </w:p>
        </w:tc>
      </w:tr>
    </w:tbl>
    <w:p>
      <w:pPr>
        <w:spacing w:after="160"/>
      </w:pPr>
    </w:p>
    <w:p>
      <w:pPr>
        <w:spacing w:after="120"/>
        <w:jc w:val="both"/>
      </w:pPr>
      <w:r>
        <w:rPr>
          <w:rFonts w:ascii="Calibri" w:cs="Calibri" w:eastAsia="Calibri" w:hAnsi="Calibri"/>
          <w:sz w:val="24"/>
          <w:szCs w:val="24"/>
        </w:rPr>
        <w:t xml:space="preserve">Lot's O' Nuts and Wicked Choccy's are the dominant factories by volume (55.8% and 40.7% respectively). The Other Factory and Secret Factory deliver the best lead time and delay performance despite low volumes. Sugar Shack has the highest average lead time and is the most delay-prone per unit shipped.</w:t>
      </w:r>
    </w:p>
    <w:p>
      <w:pPr>
        <w:pStyle w:val="Heading2"/>
        <w:spacing w:after="100" w:before="240"/>
      </w:pPr>
      <w:r>
        <w:t xml:space="preserve">5.3 Regional Performance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2500"/>
        <w:gridCol w:w="2540"/>
      </w:tblGrid>
      <w:tr>
        <w:trPr>
          <w:tblHeader/>
        </w:trPr>
        <w:tc>
          <w:tcPr>
            <w:tcW w:type="dxa" w:w="2160"/>
            <w:shd w:fill="1a1a2e" w:color="ffffff" w:val="clear"/>
          </w:tcPr>
          <w:p>
            <w:pPr>
              <w:jc w:val="center"/>
            </w:pPr>
            <w:r>
              <w:rPr>
                <w:rFonts w:ascii="Calibri" w:cs="Calibri" w:eastAsia="Calibri" w:hAnsi="Calibri"/>
                <w:b/>
                <w:bCs/>
                <w:color w:val="FFFFFF"/>
                <w:sz w:val="22"/>
                <w:szCs w:val="22"/>
              </w:rPr>
              <w:t xml:space="preserve">Region</w:t>
            </w:r>
          </w:p>
        </w:tc>
        <w:tc>
          <w:tcPr>
            <w:tcW w:type="dxa" w:w="1440"/>
            <w:shd w:fill="1a1a2e" w:color="ffffff" w:val="clear"/>
          </w:tcPr>
          <w:p>
            <w:pPr>
              <w:jc w:val="center"/>
            </w:pPr>
            <w:r>
              <w:rPr>
                <w:rFonts w:ascii="Calibri" w:cs="Calibri" w:eastAsia="Calibri" w:hAnsi="Calibri"/>
                <w:b/>
                <w:bCs/>
                <w:color w:val="FFFFFF"/>
                <w:sz w:val="22"/>
                <w:szCs w:val="22"/>
              </w:rPr>
              <w:t xml:space="preserve">Orders</w:t>
            </w:r>
          </w:p>
        </w:tc>
        <w:tc>
          <w:tcPr>
            <w:tcW w:type="dxa" w:w="2500"/>
            <w:shd w:fill="1a1a2e" w:color="ffffff" w:val="clear"/>
          </w:tcPr>
          <w:p>
            <w:pPr>
              <w:jc w:val="center"/>
            </w:pPr>
            <w:r>
              <w:rPr>
                <w:rFonts w:ascii="Calibri" w:cs="Calibri" w:eastAsia="Calibri" w:hAnsi="Calibri"/>
                <w:b/>
                <w:bCs/>
                <w:color w:val="FFFFFF"/>
                <w:sz w:val="22"/>
                <w:szCs w:val="22"/>
              </w:rPr>
              <w:t xml:space="preserve">Avg Lead Time (d)</w:t>
            </w:r>
          </w:p>
        </w:tc>
        <w:tc>
          <w:tcPr>
            <w:tcW w:type="dxa" w:w="2540"/>
            <w:shd w:fill="1a1a2e" w:color="ffffff" w:val="clear"/>
          </w:tcPr>
          <w:p>
            <w:pPr>
              <w:jc w:val="center"/>
            </w:pPr>
            <w:r>
              <w:rPr>
                <w:rFonts w:ascii="Calibri" w:cs="Calibri" w:eastAsia="Calibri" w:hAnsi="Calibri"/>
                <w:b/>
                <w:bCs/>
                <w:color w:val="FFFFFF"/>
                <w:sz w:val="22"/>
                <w:szCs w:val="22"/>
              </w:rPr>
              <w:t xml:space="preserve">Delay Rate (%)</w:t>
            </w:r>
          </w:p>
        </w:tc>
      </w:tr>
      <w:tr>
        <w:tc>
          <w:tcPr>
            <w:tcW w:type="dxa" w:w="2160"/>
          </w:tcPr>
          <w:p>
            <w:pPr>
              <w:jc w:val="center"/>
            </w:pPr>
            <w:r>
              <w:rPr>
                <w:rFonts w:ascii="Calibri" w:cs="Calibri" w:eastAsia="Calibri" w:hAnsi="Calibri"/>
                <w:sz w:val="22"/>
                <w:szCs w:val="22"/>
              </w:rPr>
              <w:t xml:space="preserve">Atlantic</w:t>
            </w:r>
          </w:p>
        </w:tc>
        <w:tc>
          <w:tcPr>
            <w:tcW w:type="dxa" w:w="1440"/>
          </w:tcPr>
          <w:p>
            <w:pPr>
              <w:jc w:val="center"/>
            </w:pPr>
            <w:r>
              <w:rPr>
                <w:rFonts w:ascii="Calibri" w:cs="Calibri" w:eastAsia="Calibri" w:hAnsi="Calibri"/>
                <w:sz w:val="22"/>
                <w:szCs w:val="22"/>
              </w:rPr>
              <w:t xml:space="preserve">2,986</w:t>
            </w:r>
          </w:p>
        </w:tc>
        <w:tc>
          <w:tcPr>
            <w:tcW w:type="dxa" w:w="2500"/>
          </w:tcPr>
          <w:p>
            <w:pPr>
              <w:jc w:val="center"/>
            </w:pPr>
            <w:r>
              <w:rPr>
                <w:rFonts w:ascii="Calibri" w:cs="Calibri" w:eastAsia="Calibri" w:hAnsi="Calibri"/>
                <w:sz w:val="22"/>
                <w:szCs w:val="22"/>
              </w:rPr>
              <w:t xml:space="preserve">177.54</w:t>
            </w:r>
          </w:p>
        </w:tc>
        <w:tc>
          <w:tcPr>
            <w:tcW w:type="dxa" w:w="2540"/>
          </w:tcPr>
          <w:p>
            <w:pPr>
              <w:jc w:val="center"/>
            </w:pPr>
            <w:r>
              <w:rPr>
                <w:rFonts w:ascii="Calibri" w:cs="Calibri" w:eastAsia="Calibri" w:hAnsi="Calibri"/>
                <w:sz w:val="22"/>
                <w:szCs w:val="22"/>
              </w:rPr>
              <w:t xml:space="preserve">12.79%</w:t>
            </w:r>
          </w:p>
        </w:tc>
      </w:tr>
      <w:tr>
        <w:tc>
          <w:tcPr>
            <w:tcW w:type="dxa" w:w="2160"/>
            <w:shd w:fill="EEF2FF" w:color="000000" w:val="clear"/>
          </w:tcPr>
          <w:p>
            <w:pPr>
              <w:jc w:val="center"/>
            </w:pPr>
            <w:r>
              <w:rPr>
                <w:rFonts w:ascii="Calibri" w:cs="Calibri" w:eastAsia="Calibri" w:hAnsi="Calibri"/>
                <w:sz w:val="22"/>
                <w:szCs w:val="22"/>
              </w:rPr>
              <w:t xml:space="preserve">Pacific</w:t>
            </w:r>
          </w:p>
        </w:tc>
        <w:tc>
          <w:tcPr>
            <w:tcW w:type="dxa" w:w="1440"/>
            <w:shd w:fill="EEF2FF" w:color="000000" w:val="clear"/>
          </w:tcPr>
          <w:p>
            <w:pPr>
              <w:jc w:val="center"/>
            </w:pPr>
            <w:r>
              <w:rPr>
                <w:rFonts w:ascii="Calibri" w:cs="Calibri" w:eastAsia="Calibri" w:hAnsi="Calibri"/>
                <w:sz w:val="22"/>
                <w:szCs w:val="22"/>
              </w:rPr>
              <w:t xml:space="preserve">3,253</w:t>
            </w:r>
          </w:p>
        </w:tc>
        <w:tc>
          <w:tcPr>
            <w:tcW w:type="dxa" w:w="2500"/>
            <w:shd w:fill="EEF2FF" w:color="000000" w:val="clear"/>
          </w:tcPr>
          <w:p>
            <w:pPr>
              <w:jc w:val="center"/>
            </w:pPr>
            <w:r>
              <w:rPr>
                <w:rFonts w:ascii="Calibri" w:cs="Calibri" w:eastAsia="Calibri" w:hAnsi="Calibri"/>
                <w:sz w:val="22"/>
                <w:szCs w:val="22"/>
              </w:rPr>
              <w:t xml:space="preserve">177.57</w:t>
            </w:r>
          </w:p>
        </w:tc>
        <w:tc>
          <w:tcPr>
            <w:tcW w:type="dxa" w:w="2540"/>
            <w:shd w:fill="EEF2FF" w:color="000000" w:val="clear"/>
          </w:tcPr>
          <w:p>
            <w:pPr>
              <w:jc w:val="center"/>
            </w:pPr>
            <w:r>
              <w:rPr>
                <w:rFonts w:ascii="Calibri" w:cs="Calibri" w:eastAsia="Calibri" w:hAnsi="Calibri"/>
                <w:sz w:val="22"/>
                <w:szCs w:val="22"/>
              </w:rPr>
              <w:t xml:space="preserve">13.89%</w:t>
            </w:r>
          </w:p>
        </w:tc>
      </w:tr>
      <w:tr>
        <w:tc>
          <w:tcPr>
            <w:tcW w:type="dxa" w:w="2160"/>
          </w:tcPr>
          <w:p>
            <w:pPr>
              <w:jc w:val="center"/>
            </w:pPr>
            <w:r>
              <w:rPr>
                <w:rFonts w:ascii="Calibri" w:cs="Calibri" w:eastAsia="Calibri" w:hAnsi="Calibri"/>
                <w:sz w:val="22"/>
                <w:szCs w:val="22"/>
              </w:rPr>
              <w:t xml:space="preserve">Interior</w:t>
            </w:r>
          </w:p>
        </w:tc>
        <w:tc>
          <w:tcPr>
            <w:tcW w:type="dxa" w:w="1440"/>
          </w:tcPr>
          <w:p>
            <w:pPr>
              <w:jc w:val="center"/>
            </w:pPr>
            <w:r>
              <w:rPr>
                <w:rFonts w:ascii="Calibri" w:cs="Calibri" w:eastAsia="Calibri" w:hAnsi="Calibri"/>
                <w:sz w:val="22"/>
                <w:szCs w:val="22"/>
              </w:rPr>
              <w:t xml:space="preserve">2,335</w:t>
            </w:r>
          </w:p>
        </w:tc>
        <w:tc>
          <w:tcPr>
            <w:tcW w:type="dxa" w:w="2500"/>
          </w:tcPr>
          <w:p>
            <w:pPr>
              <w:jc w:val="center"/>
            </w:pPr>
            <w:r>
              <w:rPr>
                <w:rFonts w:ascii="Calibri" w:cs="Calibri" w:eastAsia="Calibri" w:hAnsi="Calibri"/>
                <w:sz w:val="22"/>
                <w:szCs w:val="22"/>
              </w:rPr>
              <w:t xml:space="preserve">177.69</w:t>
            </w:r>
          </w:p>
        </w:tc>
        <w:tc>
          <w:tcPr>
            <w:tcW w:type="dxa" w:w="2540"/>
          </w:tcPr>
          <w:p>
            <w:pPr>
              <w:jc w:val="center"/>
            </w:pPr>
            <w:r>
              <w:rPr>
                <w:rFonts w:ascii="Calibri" w:cs="Calibri" w:eastAsia="Calibri" w:hAnsi="Calibri"/>
                <w:sz w:val="22"/>
                <w:szCs w:val="22"/>
              </w:rPr>
              <w:t xml:space="preserve">13.79%</w:t>
            </w:r>
          </w:p>
        </w:tc>
      </w:tr>
      <w:tr>
        <w:tc>
          <w:tcPr>
            <w:tcW w:type="dxa" w:w="2160"/>
            <w:shd w:fill="EEF2FF" w:color="000000" w:val="clear"/>
          </w:tcPr>
          <w:p>
            <w:pPr>
              <w:jc w:val="center"/>
            </w:pPr>
            <w:r>
              <w:rPr>
                <w:rFonts w:ascii="Calibri" w:cs="Calibri" w:eastAsia="Calibri" w:hAnsi="Calibri"/>
                <w:sz w:val="22"/>
                <w:szCs w:val="22"/>
              </w:rPr>
              <w:t xml:space="preserve">Gulf</w:t>
            </w:r>
          </w:p>
        </w:tc>
        <w:tc>
          <w:tcPr>
            <w:tcW w:type="dxa" w:w="1440"/>
            <w:shd w:fill="EEF2FF" w:color="000000" w:val="clear"/>
          </w:tcPr>
          <w:p>
            <w:pPr>
              <w:jc w:val="center"/>
            </w:pPr>
            <w:r>
              <w:rPr>
                <w:rFonts w:ascii="Calibri" w:cs="Calibri" w:eastAsia="Calibri" w:hAnsi="Calibri"/>
                <w:sz w:val="22"/>
                <w:szCs w:val="22"/>
              </w:rPr>
              <w:t xml:space="preserve">1,620</w:t>
            </w:r>
          </w:p>
        </w:tc>
        <w:tc>
          <w:tcPr>
            <w:tcW w:type="dxa" w:w="2500"/>
            <w:shd w:fill="EEF2FF" w:color="000000" w:val="clear"/>
          </w:tcPr>
          <w:p>
            <w:pPr>
              <w:jc w:val="center"/>
            </w:pPr>
            <w:r>
              <w:rPr>
                <w:rFonts w:ascii="Calibri" w:cs="Calibri" w:eastAsia="Calibri" w:hAnsi="Calibri"/>
                <w:sz w:val="22"/>
                <w:szCs w:val="22"/>
              </w:rPr>
              <w:t xml:space="preserve">177.62</w:t>
            </w:r>
          </w:p>
        </w:tc>
        <w:tc>
          <w:tcPr>
            <w:tcW w:type="dxa" w:w="2540"/>
            <w:shd w:fill="EEF2FF" w:color="000000" w:val="clear"/>
          </w:tcPr>
          <w:p>
            <w:pPr>
              <w:jc w:val="center"/>
            </w:pPr>
            <w:r>
              <w:rPr>
                <w:rFonts w:ascii="Calibri" w:cs="Calibri" w:eastAsia="Calibri" w:hAnsi="Calibri"/>
                <w:sz w:val="22"/>
                <w:szCs w:val="22"/>
              </w:rPr>
              <w:t xml:space="preserve">14.01%</w:t>
            </w:r>
          </w:p>
        </w:tc>
      </w:tr>
    </w:tbl>
    <w:p>
      <w:pPr>
        <w:spacing w:after="160"/>
      </w:pPr>
    </w:p>
    <w:p>
      <w:pPr>
        <w:spacing w:after="120"/>
        <w:jc w:val="both"/>
      </w:pPr>
      <w:r>
        <w:rPr>
          <w:rFonts w:ascii="Calibri" w:cs="Calibri" w:eastAsia="Calibri" w:hAnsi="Calibri"/>
          <w:sz w:val="24"/>
          <w:szCs w:val="24"/>
        </w:rPr>
        <w:t xml:space="preserve">Regional differences in lead time are minimal (less than 0.2 days span), suggesting the network operates uniformly at the regional level. However, delay rates vary — the Gulf region has the highest delay incidence at 14.01%, while the Atlantic region is the most reliable at 12.79%.</w:t>
      </w:r>
    </w:p>
    <w:p>
      <w:pPr>
        <w:pStyle w:val="Heading2"/>
        <w:spacing w:after="100" w:before="240"/>
      </w:pPr>
      <w:r>
        <w:t xml:space="preserve">5.4 Ship Mode Performance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1800"/>
        <w:gridCol w:w="1840"/>
      </w:tblGrid>
      <w:tr>
        <w:trPr>
          <w:tblHeader/>
        </w:trPr>
        <w:tc>
          <w:tcPr>
            <w:tcW w:type="dxa" w:w="2000"/>
            <w:shd w:fill="1a1a2e" w:color="ffffff" w:val="clear"/>
          </w:tcPr>
          <w:p>
            <w:pPr>
              <w:jc w:val="center"/>
            </w:pPr>
            <w:r>
              <w:rPr>
                <w:rFonts w:ascii="Calibri" w:cs="Calibri" w:eastAsia="Calibri" w:hAnsi="Calibri"/>
                <w:b/>
                <w:bCs/>
                <w:color w:val="FFFFFF"/>
                <w:sz w:val="22"/>
                <w:szCs w:val="22"/>
              </w:rPr>
              <w:t xml:space="preserve">Ship Mode</w:t>
            </w:r>
          </w:p>
        </w:tc>
        <w:tc>
          <w:tcPr>
            <w:tcW w:type="dxa" w:w="1200"/>
            <w:shd w:fill="1a1a2e" w:color="ffffff" w:val="clear"/>
          </w:tcPr>
          <w:p>
            <w:pPr>
              <w:jc w:val="center"/>
            </w:pPr>
            <w:r>
              <w:rPr>
                <w:rFonts w:ascii="Calibri" w:cs="Calibri" w:eastAsia="Calibri" w:hAnsi="Calibri"/>
                <w:b/>
                <w:bCs/>
                <w:color w:val="FFFFFF"/>
                <w:sz w:val="22"/>
                <w:szCs w:val="22"/>
              </w:rPr>
              <w:t xml:space="preserve">Orders</w:t>
            </w:r>
          </w:p>
        </w:tc>
        <w:tc>
          <w:tcPr>
            <w:tcW w:type="dxa" w:w="1800"/>
            <w:shd w:fill="1a1a2e" w:color="ffffff" w:val="clear"/>
          </w:tcPr>
          <w:p>
            <w:pPr>
              <w:jc w:val="center"/>
            </w:pPr>
            <w:r>
              <w:rPr>
                <w:rFonts w:ascii="Calibri" w:cs="Calibri" w:eastAsia="Calibri" w:hAnsi="Calibri"/>
                <w:b/>
                <w:bCs/>
                <w:color w:val="FFFFFF"/>
                <w:sz w:val="22"/>
                <w:szCs w:val="22"/>
              </w:rPr>
              <w:t xml:space="preserve">Avg Lead Time (d)</w:t>
            </w:r>
          </w:p>
        </w:tc>
        <w:tc>
          <w:tcPr>
            <w:tcW w:type="dxa" w:w="1800"/>
            <w:shd w:fill="1a1a2e" w:color="ffffff" w:val="clear"/>
          </w:tcPr>
          <w:p>
            <w:pPr>
              <w:jc w:val="center"/>
            </w:pPr>
            <w:r>
              <w:rPr>
                <w:rFonts w:ascii="Calibri" w:cs="Calibri" w:eastAsia="Calibri" w:hAnsi="Calibri"/>
                <w:b/>
                <w:bCs/>
                <w:color w:val="FFFFFF"/>
                <w:sz w:val="22"/>
                <w:szCs w:val="22"/>
              </w:rPr>
              <w:t xml:space="preserve">Delay Rate (%)</w:t>
            </w:r>
          </w:p>
        </w:tc>
        <w:tc>
          <w:tcPr>
            <w:tcW w:type="dxa" w:w="1840"/>
            <w:shd w:fill="1a1a2e" w:color="ffffff" w:val="clear"/>
          </w:tcPr>
          <w:p>
            <w:pPr>
              <w:jc w:val="center"/>
            </w:pPr>
            <w:r>
              <w:rPr>
                <w:rFonts w:ascii="Calibri" w:cs="Calibri" w:eastAsia="Calibri" w:hAnsi="Calibri"/>
                <w:b/>
                <w:bCs/>
                <w:color w:val="FFFFFF"/>
                <w:sz w:val="22"/>
                <w:szCs w:val="22"/>
              </w:rPr>
              <w:t xml:space="preserve">Avg Cost ($)</w:t>
            </w:r>
          </w:p>
        </w:tc>
      </w:tr>
      <w:tr>
        <w:tc>
          <w:tcPr>
            <w:tcW w:type="dxa" w:w="2000"/>
          </w:tcPr>
          <w:p>
            <w:pPr>
              <w:jc w:val="center"/>
            </w:pPr>
            <w:r>
              <w:rPr>
                <w:rFonts w:ascii="Calibri" w:cs="Calibri" w:eastAsia="Calibri" w:hAnsi="Calibri"/>
                <w:sz w:val="22"/>
                <w:szCs w:val="22"/>
              </w:rPr>
              <w:t xml:space="preserve">Same Day</w:t>
            </w:r>
          </w:p>
        </w:tc>
        <w:tc>
          <w:tcPr>
            <w:tcW w:type="dxa" w:w="1200"/>
          </w:tcPr>
          <w:p>
            <w:pPr>
              <w:jc w:val="center"/>
            </w:pPr>
            <w:r>
              <w:rPr>
                <w:rFonts w:ascii="Calibri" w:cs="Calibri" w:eastAsia="Calibri" w:hAnsi="Calibri"/>
                <w:sz w:val="22"/>
                <w:szCs w:val="22"/>
              </w:rPr>
              <w:t xml:space="preserve">547</w:t>
            </w:r>
          </w:p>
        </w:tc>
        <w:tc>
          <w:tcPr>
            <w:tcW w:type="dxa" w:w="1800"/>
          </w:tcPr>
          <w:p>
            <w:pPr>
              <w:jc w:val="center"/>
            </w:pPr>
            <w:r>
              <w:rPr>
                <w:rFonts w:ascii="Calibri" w:cs="Calibri" w:eastAsia="Calibri" w:hAnsi="Calibri"/>
                <w:sz w:val="22"/>
                <w:szCs w:val="22"/>
              </w:rPr>
              <w:t xml:space="preserve">173.63</w:t>
            </w:r>
          </w:p>
        </w:tc>
        <w:tc>
          <w:tcPr>
            <w:tcW w:type="dxa" w:w="1800"/>
          </w:tcPr>
          <w:p>
            <w:pPr>
              <w:jc w:val="center"/>
            </w:pPr>
            <w:r>
              <w:rPr>
                <w:rFonts w:ascii="Calibri" w:cs="Calibri" w:eastAsia="Calibri" w:hAnsi="Calibri"/>
                <w:sz w:val="22"/>
                <w:szCs w:val="22"/>
              </w:rPr>
              <w:t xml:space="preserve">0.00%</w:t>
            </w:r>
          </w:p>
        </w:tc>
        <w:tc>
          <w:tcPr>
            <w:tcW w:type="dxa" w:w="1840"/>
          </w:tcPr>
          <w:p>
            <w:pPr>
              <w:jc w:val="center"/>
            </w:pPr>
            <w:r>
              <w:rPr>
                <w:rFonts w:ascii="Calibri" w:cs="Calibri" w:eastAsia="Calibri" w:hAnsi="Calibri"/>
                <w:sz w:val="22"/>
                <w:szCs w:val="22"/>
              </w:rPr>
              <w:t xml:space="preserve">$4.41</w:t>
            </w:r>
          </w:p>
        </w:tc>
      </w:tr>
      <w:tr>
        <w:tc>
          <w:tcPr>
            <w:tcW w:type="dxa" w:w="2000"/>
            <w:shd w:fill="EEF2FF" w:color="000000" w:val="clear"/>
          </w:tcPr>
          <w:p>
            <w:pPr>
              <w:jc w:val="center"/>
            </w:pPr>
            <w:r>
              <w:rPr>
                <w:rFonts w:ascii="Calibri" w:cs="Calibri" w:eastAsia="Calibri" w:hAnsi="Calibri"/>
                <w:sz w:val="22"/>
                <w:szCs w:val="22"/>
              </w:rPr>
              <w:t xml:space="preserve">First Class</w:t>
            </w:r>
          </w:p>
        </w:tc>
        <w:tc>
          <w:tcPr>
            <w:tcW w:type="dxa" w:w="1200"/>
            <w:shd w:fill="EEF2FF" w:color="000000" w:val="clear"/>
          </w:tcPr>
          <w:p>
            <w:pPr>
              <w:jc w:val="center"/>
            </w:pPr>
            <w:r>
              <w:rPr>
                <w:rFonts w:ascii="Calibri" w:cs="Calibri" w:eastAsia="Calibri" w:hAnsi="Calibri"/>
                <w:sz w:val="22"/>
                <w:szCs w:val="22"/>
              </w:rPr>
              <w:t xml:space="preserve">1,548</w:t>
            </w:r>
          </w:p>
        </w:tc>
        <w:tc>
          <w:tcPr>
            <w:tcW w:type="dxa" w:w="1800"/>
            <w:shd w:fill="EEF2FF" w:color="000000" w:val="clear"/>
          </w:tcPr>
          <w:p>
            <w:pPr>
              <w:jc w:val="center"/>
            </w:pPr>
            <w:r>
              <w:rPr>
                <w:rFonts w:ascii="Calibri" w:cs="Calibri" w:eastAsia="Calibri" w:hAnsi="Calibri"/>
                <w:sz w:val="22"/>
                <w:szCs w:val="22"/>
              </w:rPr>
              <w:t xml:space="preserve">175.84</w:t>
            </w:r>
          </w:p>
        </w:tc>
        <w:tc>
          <w:tcPr>
            <w:tcW w:type="dxa" w:w="1800"/>
            <w:shd w:fill="EEF2FF" w:color="000000" w:val="clear"/>
          </w:tcPr>
          <w:p>
            <w:pPr>
              <w:jc w:val="center"/>
            </w:pPr>
            <w:r>
              <w:rPr>
                <w:rFonts w:ascii="Calibri" w:cs="Calibri" w:eastAsia="Calibri" w:hAnsi="Calibri"/>
                <w:sz w:val="22"/>
                <w:szCs w:val="22"/>
              </w:rPr>
              <w:t xml:space="preserve">0.00%</w:t>
            </w:r>
          </w:p>
        </w:tc>
        <w:tc>
          <w:tcPr>
            <w:tcW w:type="dxa" w:w="1840"/>
            <w:shd w:fill="EEF2FF" w:color="000000" w:val="clear"/>
          </w:tcPr>
          <w:p>
            <w:pPr>
              <w:jc w:val="center"/>
            </w:pPr>
            <w:r>
              <w:rPr>
                <w:rFonts w:ascii="Calibri" w:cs="Calibri" w:eastAsia="Calibri" w:hAnsi="Calibri"/>
                <w:sz w:val="22"/>
                <w:szCs w:val="22"/>
              </w:rPr>
              <w:t xml:space="preserve">$4.72</w:t>
            </w:r>
          </w:p>
        </w:tc>
      </w:tr>
      <w:tr>
        <w:tc>
          <w:tcPr>
            <w:tcW w:type="dxa" w:w="2000"/>
          </w:tcPr>
          <w:p>
            <w:pPr>
              <w:jc w:val="center"/>
            </w:pPr>
            <w:r>
              <w:rPr>
                <w:rFonts w:ascii="Calibri" w:cs="Calibri" w:eastAsia="Calibri" w:hAnsi="Calibri"/>
                <w:sz w:val="22"/>
                <w:szCs w:val="22"/>
              </w:rPr>
              <w:t xml:space="preserve">Second Class</w:t>
            </w:r>
          </w:p>
        </w:tc>
        <w:tc>
          <w:tcPr>
            <w:tcW w:type="dxa" w:w="1200"/>
          </w:tcPr>
          <w:p>
            <w:pPr>
              <w:jc w:val="center"/>
            </w:pPr>
            <w:r>
              <w:rPr>
                <w:rFonts w:ascii="Calibri" w:cs="Calibri" w:eastAsia="Calibri" w:hAnsi="Calibri"/>
                <w:sz w:val="22"/>
                <w:szCs w:val="22"/>
              </w:rPr>
              <w:t xml:space="preserve">1,979</w:t>
            </w:r>
          </w:p>
        </w:tc>
        <w:tc>
          <w:tcPr>
            <w:tcW w:type="dxa" w:w="1800"/>
          </w:tcPr>
          <w:p>
            <w:pPr>
              <w:jc w:val="center"/>
            </w:pPr>
            <w:r>
              <w:rPr>
                <w:rFonts w:ascii="Calibri" w:cs="Calibri" w:eastAsia="Calibri" w:hAnsi="Calibri"/>
                <w:sz w:val="22"/>
                <w:szCs w:val="22"/>
              </w:rPr>
              <w:t xml:space="preserve">176.86</w:t>
            </w:r>
          </w:p>
        </w:tc>
        <w:tc>
          <w:tcPr>
            <w:tcW w:type="dxa" w:w="1800"/>
          </w:tcPr>
          <w:p>
            <w:pPr>
              <w:jc w:val="center"/>
            </w:pPr>
            <w:r>
              <w:rPr>
                <w:rFonts w:ascii="Calibri" w:cs="Calibri" w:eastAsia="Calibri" w:hAnsi="Calibri"/>
                <w:sz w:val="22"/>
                <w:szCs w:val="22"/>
              </w:rPr>
              <w:t xml:space="preserve">0.35%</w:t>
            </w:r>
          </w:p>
        </w:tc>
        <w:tc>
          <w:tcPr>
            <w:tcW w:type="dxa" w:w="1840"/>
          </w:tcPr>
          <w:p>
            <w:pPr>
              <w:jc w:val="center"/>
            </w:pPr>
            <w:r>
              <w:rPr>
                <w:rFonts w:ascii="Calibri" w:cs="Calibri" w:eastAsia="Calibri" w:hAnsi="Calibri"/>
                <w:sz w:val="22"/>
                <w:szCs w:val="22"/>
              </w:rPr>
              <w:t xml:space="preserve">$4.83</w:t>
            </w:r>
          </w:p>
        </w:tc>
      </w:tr>
      <w:tr>
        <w:tc>
          <w:tcPr>
            <w:tcW w:type="dxa" w:w="2000"/>
            <w:shd w:fill="EEF2FF" w:color="000000" w:val="clear"/>
          </w:tcPr>
          <w:p>
            <w:pPr>
              <w:jc w:val="center"/>
            </w:pPr>
            <w:r>
              <w:rPr>
                <w:rFonts w:ascii="Calibri" w:cs="Calibri" w:eastAsia="Calibri" w:hAnsi="Calibri"/>
                <w:sz w:val="22"/>
                <w:szCs w:val="22"/>
              </w:rPr>
              <w:t xml:space="preserve">Standard Class</w:t>
            </w:r>
          </w:p>
        </w:tc>
        <w:tc>
          <w:tcPr>
            <w:tcW w:type="dxa" w:w="1200"/>
            <w:shd w:fill="EEF2FF" w:color="000000" w:val="clear"/>
          </w:tcPr>
          <w:p>
            <w:pPr>
              <w:jc w:val="center"/>
            </w:pPr>
            <w:r>
              <w:rPr>
                <w:rFonts w:ascii="Calibri" w:cs="Calibri" w:eastAsia="Calibri" w:hAnsi="Calibri"/>
                <w:sz w:val="22"/>
                <w:szCs w:val="22"/>
              </w:rPr>
              <w:t xml:space="preserve">6,120</w:t>
            </w:r>
          </w:p>
        </w:tc>
        <w:tc>
          <w:tcPr>
            <w:tcW w:type="dxa" w:w="1800"/>
            <w:shd w:fill="EEF2FF" w:color="000000" w:val="clear"/>
          </w:tcPr>
          <w:p>
            <w:pPr>
              <w:jc w:val="center"/>
            </w:pPr>
            <w:r>
              <w:rPr>
                <w:rFonts w:ascii="Calibri" w:cs="Calibri" w:eastAsia="Calibri" w:hAnsi="Calibri"/>
                <w:sz w:val="22"/>
                <w:szCs w:val="22"/>
              </w:rPr>
              <w:t xml:space="preserve">178.63</w:t>
            </w:r>
          </w:p>
        </w:tc>
        <w:tc>
          <w:tcPr>
            <w:tcW w:type="dxa" w:w="1800"/>
            <w:shd w:fill="EEF2FF" w:color="000000" w:val="clear"/>
          </w:tcPr>
          <w:p>
            <w:pPr>
              <w:jc w:val="center"/>
            </w:pPr>
            <w:r>
              <w:rPr>
                <w:rFonts w:ascii="Calibri" w:cs="Calibri" w:eastAsia="Calibri" w:hAnsi="Calibri"/>
                <w:sz w:val="22"/>
                <w:szCs w:val="22"/>
              </w:rPr>
              <w:t xml:space="preserve">22.48%</w:t>
            </w:r>
          </w:p>
        </w:tc>
        <w:tc>
          <w:tcPr>
            <w:tcW w:type="dxa" w:w="1840"/>
            <w:shd w:fill="EEF2FF" w:color="000000" w:val="clear"/>
          </w:tcPr>
          <w:p>
            <w:pPr>
              <w:jc w:val="center"/>
            </w:pPr>
            <w:r>
              <w:rPr>
                <w:rFonts w:ascii="Calibri" w:cs="Calibri" w:eastAsia="Calibri" w:hAnsi="Calibri"/>
                <w:sz w:val="22"/>
                <w:szCs w:val="22"/>
              </w:rPr>
              <w:t xml:space="preserve">$4.75</w:t>
            </w:r>
          </w:p>
        </w:tc>
      </w:tr>
    </w:tbl>
    <w:p>
      <w:pPr>
        <w:spacing w:after="160"/>
      </w:pPr>
    </w:p>
    <w:p>
      <w:pPr>
        <w:spacing w:after="120"/>
        <w:jc w:val="both"/>
      </w:pPr>
      <w:r>
        <w:rPr>
          <w:rFonts w:ascii="Calibri" w:cs="Calibri" w:eastAsia="Calibri" w:hAnsi="Calibri"/>
          <w:sz w:val="24"/>
          <w:szCs w:val="24"/>
        </w:rPr>
        <w:t xml:space="preserve">This is the most significant finding in the dataset. Standard Class shipping — the most widely used mode (60% of orders) — carries an alarming delay rate of 22.48%, while Same Day and First Class maintain zero delays. The average cost difference between Same Day ($4.41) and Standard Class ($4.75) is only $0.34, yet the reliability gap is enormous. This represents a strong case for modal shift for high-value or time-sensitive shipments.</w:t>
      </w:r>
    </w:p>
    <w:p>
      <w:pPr>
        <w:pStyle w:val="Heading2"/>
        <w:spacing w:after="100" w:before="240"/>
      </w:pPr>
      <w:r>
        <w:t xml:space="preserve">5.5 Route Efficiency Rankings</w:t>
      </w:r>
    </w:p>
    <w:p>
      <w:pPr>
        <w:pStyle w:val="Heading3"/>
        <w:spacing w:after="80" w:before="180"/>
      </w:pPr>
      <w:r>
        <w:t xml:space="preserve">Top 10 Most Efficient Routes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1440"/>
        <w:gridCol w:w="1440"/>
        <w:gridCol w:w="1440"/>
      </w:tblGrid>
      <w:tr>
        <w:trPr>
          <w:tblHeader/>
        </w:trPr>
        <w:tc>
          <w:tcPr>
            <w:tcW w:type="dxa" w:w="720"/>
            <w:shd w:fill="1a1a2e" w:color="ffffff" w:val="clear"/>
          </w:tcPr>
          <w:p>
            <w:pPr>
              <w:jc w:val="center"/>
            </w:pPr>
            <w:r>
              <w:rPr>
                <w:rFonts w:ascii="Calibri" w:cs="Calibri" w:eastAsia="Calibri" w:hAnsi="Calibri"/>
                <w:b/>
                <w:bCs/>
                <w:color w:val="FFFFFF"/>
                <w:sz w:val="22"/>
                <w:szCs w:val="22"/>
              </w:rPr>
              <w:t xml:space="preserve">Rank</w:t>
            </w:r>
          </w:p>
        </w:tc>
        <w:tc>
          <w:tcPr>
            <w:tcW w:type="dxa" w:w="3600"/>
            <w:shd w:fill="1a1a2e" w:color="ffffff" w:val="clear"/>
          </w:tcPr>
          <w:p>
            <w:pPr>
              <w:jc w:val="center"/>
            </w:pPr>
            <w:r>
              <w:rPr>
                <w:rFonts w:ascii="Calibri" w:cs="Calibri" w:eastAsia="Calibri" w:hAnsi="Calibri"/>
                <w:b/>
                <w:bCs/>
                <w:color w:val="FFFFFF"/>
                <w:sz w:val="22"/>
                <w:szCs w:val="22"/>
              </w:rPr>
              <w:t xml:space="preserve">Route</w:t>
            </w:r>
          </w:p>
        </w:tc>
        <w:tc>
          <w:tcPr>
            <w:tcW w:type="dxa" w:w="1440"/>
            <w:shd w:fill="1a1a2e" w:color="ffffff" w:val="clear"/>
          </w:tcPr>
          <w:p>
            <w:pPr>
              <w:jc w:val="center"/>
            </w:pPr>
            <w:r>
              <w:rPr>
                <w:rFonts w:ascii="Calibri" w:cs="Calibri" w:eastAsia="Calibri" w:hAnsi="Calibri"/>
                <w:b/>
                <w:bCs/>
                <w:color w:val="FFFFFF"/>
                <w:sz w:val="22"/>
                <w:szCs w:val="22"/>
              </w:rPr>
              <w:t xml:space="preserve">Avg Lead Time (d)</w:t>
            </w:r>
          </w:p>
        </w:tc>
        <w:tc>
          <w:tcPr>
            <w:tcW w:type="dxa" w:w="1440"/>
            <w:shd w:fill="1a1a2e" w:color="ffffff" w:val="clear"/>
          </w:tcPr>
          <w:p>
            <w:pPr>
              <w:jc w:val="center"/>
            </w:pPr>
            <w:r>
              <w:rPr>
                <w:rFonts w:ascii="Calibri" w:cs="Calibri" w:eastAsia="Calibri" w:hAnsi="Calibri"/>
                <w:b/>
                <w:bCs/>
                <w:color w:val="FFFFFF"/>
                <w:sz w:val="22"/>
                <w:szCs w:val="22"/>
              </w:rPr>
              <w:t xml:space="preserve">Delay Rate (%)</w:t>
            </w:r>
          </w:p>
        </w:tc>
        <w:tc>
          <w:tcPr>
            <w:tcW w:type="dxa" w:w="1440"/>
            <w:shd w:fill="1a1a2e" w:color="ffffff" w:val="clear"/>
          </w:tcPr>
          <w:p>
            <w:pPr>
              <w:jc w:val="center"/>
            </w:pPr>
            <w:r>
              <w:rPr>
                <w:rFonts w:ascii="Calibri" w:cs="Calibri" w:eastAsia="Calibri" w:hAnsi="Calibri"/>
                <w:b/>
                <w:bCs/>
                <w:color w:val="FFFFFF"/>
                <w:sz w:val="22"/>
                <w:szCs w:val="22"/>
              </w:rPr>
              <w:t xml:space="preserve">Efficiency Score</w:t>
            </w:r>
          </w:p>
        </w:tc>
      </w:tr>
      <w:tr>
        <w:tc>
          <w:tcPr>
            <w:tcW w:type="dxa" w:w="720"/>
          </w:tcPr>
          <w:p>
            <w:pPr>
              <w:jc w:val="center"/>
            </w:pPr>
            <w:r>
              <w:rPr>
                <w:rFonts w:ascii="Calibri" w:cs="Calibri" w:eastAsia="Calibri" w:hAnsi="Calibri"/>
                <w:sz w:val="22"/>
                <w:szCs w:val="22"/>
              </w:rPr>
              <w:t xml:space="preserve">1</w:t>
            </w:r>
          </w:p>
        </w:tc>
        <w:tc>
          <w:tcPr>
            <w:tcW w:type="dxa" w:w="3600"/>
          </w:tcPr>
          <w:p>
            <w:pPr>
              <w:jc w:val="center"/>
            </w:pPr>
            <w:r>
              <w:rPr>
                <w:rFonts w:ascii="Calibri" w:cs="Calibri" w:eastAsia="Calibri" w:hAnsi="Calibri"/>
                <w:sz w:val="22"/>
                <w:szCs w:val="22"/>
              </w:rPr>
              <w:t xml:space="preserve">The Other Factory → North Carolina</w:t>
            </w:r>
          </w:p>
        </w:tc>
        <w:tc>
          <w:tcPr>
            <w:tcW w:type="dxa" w:w="1440"/>
          </w:tcPr>
          <w:p>
            <w:pPr>
              <w:jc w:val="center"/>
            </w:pPr>
            <w:r>
              <w:rPr>
                <w:rFonts w:ascii="Calibri" w:cs="Calibri" w:eastAsia="Calibri" w:hAnsi="Calibri"/>
                <w:sz w:val="22"/>
                <w:szCs w:val="22"/>
              </w:rPr>
              <w:t xml:space="preserve">173.0</w:t>
            </w:r>
          </w:p>
        </w:tc>
        <w:tc>
          <w:tcPr>
            <w:tcW w:type="dxa" w:w="1440"/>
          </w:tcPr>
          <w:p>
            <w:pPr>
              <w:jc w:val="center"/>
            </w:pPr>
            <w:r>
              <w:rPr>
                <w:rFonts w:ascii="Calibri" w:cs="Calibri" w:eastAsia="Calibri" w:hAnsi="Calibri"/>
                <w:sz w:val="22"/>
                <w:szCs w:val="22"/>
              </w:rPr>
              <w:t xml:space="preserve">0.00%</w:t>
            </w:r>
          </w:p>
        </w:tc>
        <w:tc>
          <w:tcPr>
            <w:tcW w:type="dxa" w:w="1440"/>
          </w:tcPr>
          <w:p>
            <w:pPr>
              <w:jc w:val="center"/>
            </w:pPr>
            <w:r>
              <w:rPr>
                <w:rFonts w:ascii="Calibri" w:cs="Calibri" w:eastAsia="Calibri" w:hAnsi="Calibri"/>
                <w:sz w:val="22"/>
                <w:szCs w:val="22"/>
              </w:rPr>
              <w:t xml:space="preserve">100.0</w:t>
            </w:r>
          </w:p>
        </w:tc>
      </w:tr>
      <w:tr>
        <w:tc>
          <w:tcPr>
            <w:tcW w:type="dxa" w:w="720"/>
            <w:shd w:fill="EEF2FF" w:color="000000" w:val="clear"/>
          </w:tcPr>
          <w:p>
            <w:pPr>
              <w:jc w:val="center"/>
            </w:pPr>
            <w:r>
              <w:rPr>
                <w:rFonts w:ascii="Calibri" w:cs="Calibri" w:eastAsia="Calibri" w:hAnsi="Calibri"/>
                <w:sz w:val="22"/>
                <w:szCs w:val="22"/>
              </w:rPr>
              <w:t xml:space="preserve">2</w:t>
            </w:r>
          </w:p>
        </w:tc>
        <w:tc>
          <w:tcPr>
            <w:tcW w:type="dxa" w:w="3600"/>
            <w:shd w:fill="EEF2FF" w:color="000000" w:val="clear"/>
          </w:tcPr>
          <w:p>
            <w:pPr>
              <w:jc w:val="center"/>
            </w:pPr>
            <w:r>
              <w:rPr>
                <w:rFonts w:ascii="Calibri" w:cs="Calibri" w:eastAsia="Calibri" w:hAnsi="Calibri"/>
                <w:sz w:val="22"/>
                <w:szCs w:val="22"/>
              </w:rPr>
              <w:t xml:space="preserve">Lot's O' Nuts → Manitoba</w:t>
            </w:r>
          </w:p>
        </w:tc>
        <w:tc>
          <w:tcPr>
            <w:tcW w:type="dxa" w:w="1440"/>
            <w:shd w:fill="EEF2FF" w:color="000000" w:val="clear"/>
          </w:tcPr>
          <w:p>
            <w:pPr>
              <w:jc w:val="center"/>
            </w:pPr>
            <w:r>
              <w:rPr>
                <w:rFonts w:ascii="Calibri" w:cs="Calibri" w:eastAsia="Calibri" w:hAnsi="Calibri"/>
                <w:sz w:val="22"/>
                <w:szCs w:val="22"/>
              </w:rPr>
              <w:t xml:space="preserve">174.0</w:t>
            </w:r>
          </w:p>
        </w:tc>
        <w:tc>
          <w:tcPr>
            <w:tcW w:type="dxa" w:w="1440"/>
            <w:shd w:fill="EEF2FF" w:color="000000" w:val="clear"/>
          </w:tcPr>
          <w:p>
            <w:pPr>
              <w:jc w:val="center"/>
            </w:pPr>
            <w:r>
              <w:rPr>
                <w:rFonts w:ascii="Calibri" w:cs="Calibri" w:eastAsia="Calibri" w:hAnsi="Calibri"/>
                <w:sz w:val="22"/>
                <w:szCs w:val="22"/>
              </w:rPr>
              <w:t xml:space="preserve">0.00%</w:t>
            </w:r>
          </w:p>
        </w:tc>
        <w:tc>
          <w:tcPr>
            <w:tcW w:type="dxa" w:w="1440"/>
            <w:shd w:fill="EEF2FF" w:color="000000" w:val="clear"/>
          </w:tcPr>
          <w:p>
            <w:pPr>
              <w:jc w:val="center"/>
            </w:pPr>
            <w:r>
              <w:rPr>
                <w:rFonts w:ascii="Calibri" w:cs="Calibri" w:eastAsia="Calibri" w:hAnsi="Calibri"/>
                <w:sz w:val="22"/>
                <w:szCs w:val="22"/>
              </w:rPr>
              <w:t xml:space="preserve">88.0</w:t>
            </w:r>
          </w:p>
        </w:tc>
      </w:tr>
      <w:tr>
        <w:tc>
          <w:tcPr>
            <w:tcW w:type="dxa" w:w="720"/>
          </w:tcPr>
          <w:p>
            <w:pPr>
              <w:jc w:val="center"/>
            </w:pPr>
            <w:r>
              <w:rPr>
                <w:rFonts w:ascii="Calibri" w:cs="Calibri" w:eastAsia="Calibri" w:hAnsi="Calibri"/>
                <w:sz w:val="22"/>
                <w:szCs w:val="22"/>
              </w:rPr>
              <w:t xml:space="preserve">3</w:t>
            </w:r>
          </w:p>
        </w:tc>
        <w:tc>
          <w:tcPr>
            <w:tcW w:type="dxa" w:w="3600"/>
          </w:tcPr>
          <w:p>
            <w:pPr>
              <w:jc w:val="center"/>
            </w:pPr>
            <w:r>
              <w:rPr>
                <w:rFonts w:ascii="Calibri" w:cs="Calibri" w:eastAsia="Calibri" w:hAnsi="Calibri"/>
                <w:sz w:val="22"/>
                <w:szCs w:val="22"/>
              </w:rPr>
              <w:t xml:space="preserve">Secret Factory → Oregon</w:t>
            </w:r>
          </w:p>
        </w:tc>
        <w:tc>
          <w:tcPr>
            <w:tcW w:type="dxa" w:w="1440"/>
          </w:tcPr>
          <w:p>
            <w:pPr>
              <w:jc w:val="center"/>
            </w:pPr>
            <w:r>
              <w:rPr>
                <w:rFonts w:ascii="Calibri" w:cs="Calibri" w:eastAsia="Calibri" w:hAnsi="Calibri"/>
                <w:sz w:val="22"/>
                <w:szCs w:val="22"/>
              </w:rPr>
              <w:t xml:space="preserve">174.0</w:t>
            </w:r>
          </w:p>
        </w:tc>
        <w:tc>
          <w:tcPr>
            <w:tcW w:type="dxa" w:w="1440"/>
          </w:tcPr>
          <w:p>
            <w:pPr>
              <w:jc w:val="center"/>
            </w:pPr>
            <w:r>
              <w:rPr>
                <w:rFonts w:ascii="Calibri" w:cs="Calibri" w:eastAsia="Calibri" w:hAnsi="Calibri"/>
                <w:sz w:val="22"/>
                <w:szCs w:val="22"/>
              </w:rPr>
              <w:t xml:space="preserve">0.00%</w:t>
            </w:r>
          </w:p>
        </w:tc>
        <w:tc>
          <w:tcPr>
            <w:tcW w:type="dxa" w:w="1440"/>
          </w:tcPr>
          <w:p>
            <w:pPr>
              <w:jc w:val="center"/>
            </w:pPr>
            <w:r>
              <w:rPr>
                <w:rFonts w:ascii="Calibri" w:cs="Calibri" w:eastAsia="Calibri" w:hAnsi="Calibri"/>
                <w:sz w:val="22"/>
                <w:szCs w:val="22"/>
              </w:rPr>
              <w:t xml:space="preserve">88.0</w:t>
            </w:r>
          </w:p>
        </w:tc>
      </w:tr>
      <w:tr>
        <w:tc>
          <w:tcPr>
            <w:tcW w:type="dxa" w:w="720"/>
            <w:shd w:fill="EEF2FF" w:color="000000" w:val="clear"/>
          </w:tcPr>
          <w:p>
            <w:pPr>
              <w:jc w:val="center"/>
            </w:pPr>
            <w:r>
              <w:rPr>
                <w:rFonts w:ascii="Calibri" w:cs="Calibri" w:eastAsia="Calibri" w:hAnsi="Calibri"/>
                <w:sz w:val="22"/>
                <w:szCs w:val="22"/>
              </w:rPr>
              <w:t xml:space="preserve">4</w:t>
            </w:r>
          </w:p>
        </w:tc>
        <w:tc>
          <w:tcPr>
            <w:tcW w:type="dxa" w:w="3600"/>
            <w:shd w:fill="EEF2FF" w:color="000000" w:val="clear"/>
          </w:tcPr>
          <w:p>
            <w:pPr>
              <w:jc w:val="center"/>
            </w:pPr>
            <w:r>
              <w:rPr>
                <w:rFonts w:ascii="Calibri" w:cs="Calibri" w:eastAsia="Calibri" w:hAnsi="Calibri"/>
                <w:sz w:val="22"/>
                <w:szCs w:val="22"/>
              </w:rPr>
              <w:t xml:space="preserve">The Other Factory → Arizona</w:t>
            </w:r>
          </w:p>
        </w:tc>
        <w:tc>
          <w:tcPr>
            <w:tcW w:type="dxa" w:w="1440"/>
            <w:shd w:fill="EEF2FF" w:color="000000" w:val="clear"/>
          </w:tcPr>
          <w:p>
            <w:pPr>
              <w:jc w:val="center"/>
            </w:pPr>
            <w:r>
              <w:rPr>
                <w:rFonts w:ascii="Calibri" w:cs="Calibri" w:eastAsia="Calibri" w:hAnsi="Calibri"/>
                <w:sz w:val="22"/>
                <w:szCs w:val="22"/>
              </w:rPr>
              <w:t xml:space="preserve">174.0</w:t>
            </w:r>
          </w:p>
        </w:tc>
        <w:tc>
          <w:tcPr>
            <w:tcW w:type="dxa" w:w="1440"/>
            <w:shd w:fill="EEF2FF" w:color="000000" w:val="clear"/>
          </w:tcPr>
          <w:p>
            <w:pPr>
              <w:jc w:val="center"/>
            </w:pPr>
            <w:r>
              <w:rPr>
                <w:rFonts w:ascii="Calibri" w:cs="Calibri" w:eastAsia="Calibri" w:hAnsi="Calibri"/>
                <w:sz w:val="22"/>
                <w:szCs w:val="22"/>
              </w:rPr>
              <w:t xml:space="preserve">0.00%</w:t>
            </w:r>
          </w:p>
        </w:tc>
        <w:tc>
          <w:tcPr>
            <w:tcW w:type="dxa" w:w="1440"/>
            <w:shd w:fill="EEF2FF" w:color="000000" w:val="clear"/>
          </w:tcPr>
          <w:p>
            <w:pPr>
              <w:jc w:val="center"/>
            </w:pPr>
            <w:r>
              <w:rPr>
                <w:rFonts w:ascii="Calibri" w:cs="Calibri" w:eastAsia="Calibri" w:hAnsi="Calibri"/>
                <w:sz w:val="22"/>
                <w:szCs w:val="22"/>
              </w:rPr>
              <w:t xml:space="preserve">88.0</w:t>
            </w:r>
          </w:p>
        </w:tc>
      </w:tr>
      <w:tr>
        <w:tc>
          <w:tcPr>
            <w:tcW w:type="dxa" w:w="720"/>
          </w:tcPr>
          <w:p>
            <w:pPr>
              <w:jc w:val="center"/>
            </w:pPr>
            <w:r>
              <w:rPr>
                <w:rFonts w:ascii="Calibri" w:cs="Calibri" w:eastAsia="Calibri" w:hAnsi="Calibri"/>
                <w:sz w:val="22"/>
                <w:szCs w:val="22"/>
              </w:rPr>
              <w:t xml:space="preserve">5</w:t>
            </w:r>
          </w:p>
        </w:tc>
        <w:tc>
          <w:tcPr>
            <w:tcW w:type="dxa" w:w="3600"/>
          </w:tcPr>
          <w:p>
            <w:pPr>
              <w:jc w:val="center"/>
            </w:pPr>
            <w:r>
              <w:rPr>
                <w:rFonts w:ascii="Calibri" w:cs="Calibri" w:eastAsia="Calibri" w:hAnsi="Calibri"/>
                <w:sz w:val="22"/>
                <w:szCs w:val="22"/>
              </w:rPr>
              <w:t xml:space="preserve">The Other Factory → Kentucky</w:t>
            </w:r>
          </w:p>
        </w:tc>
        <w:tc>
          <w:tcPr>
            <w:tcW w:type="dxa" w:w="1440"/>
          </w:tcPr>
          <w:p>
            <w:pPr>
              <w:jc w:val="center"/>
            </w:pPr>
            <w:r>
              <w:rPr>
                <w:rFonts w:ascii="Calibri" w:cs="Calibri" w:eastAsia="Calibri" w:hAnsi="Calibri"/>
                <w:sz w:val="22"/>
                <w:szCs w:val="22"/>
              </w:rPr>
              <w:t xml:space="preserve">174.0</w:t>
            </w:r>
          </w:p>
        </w:tc>
        <w:tc>
          <w:tcPr>
            <w:tcW w:type="dxa" w:w="1440"/>
          </w:tcPr>
          <w:p>
            <w:pPr>
              <w:jc w:val="center"/>
            </w:pPr>
            <w:r>
              <w:rPr>
                <w:rFonts w:ascii="Calibri" w:cs="Calibri" w:eastAsia="Calibri" w:hAnsi="Calibri"/>
                <w:sz w:val="22"/>
                <w:szCs w:val="22"/>
              </w:rPr>
              <w:t xml:space="preserve">0.00%</w:t>
            </w:r>
          </w:p>
        </w:tc>
        <w:tc>
          <w:tcPr>
            <w:tcW w:type="dxa" w:w="1440"/>
          </w:tcPr>
          <w:p>
            <w:pPr>
              <w:jc w:val="center"/>
            </w:pPr>
            <w:r>
              <w:rPr>
                <w:rFonts w:ascii="Calibri" w:cs="Calibri" w:eastAsia="Calibri" w:hAnsi="Calibri"/>
                <w:sz w:val="22"/>
                <w:szCs w:val="22"/>
              </w:rPr>
              <w:t xml:space="preserve">88.0</w:t>
            </w:r>
          </w:p>
        </w:tc>
      </w:tr>
      <w:tr>
        <w:tc>
          <w:tcPr>
            <w:tcW w:type="dxa" w:w="720"/>
            <w:shd w:fill="EEF2FF" w:color="000000" w:val="clear"/>
          </w:tcPr>
          <w:p>
            <w:pPr>
              <w:jc w:val="center"/>
            </w:pPr>
            <w:r>
              <w:rPr>
                <w:rFonts w:ascii="Calibri" w:cs="Calibri" w:eastAsia="Calibri" w:hAnsi="Calibri"/>
                <w:sz w:val="22"/>
                <w:szCs w:val="22"/>
              </w:rPr>
              <w:t xml:space="preserve">6</w:t>
            </w:r>
          </w:p>
        </w:tc>
        <w:tc>
          <w:tcPr>
            <w:tcW w:type="dxa" w:w="3600"/>
            <w:shd w:fill="EEF2FF" w:color="000000" w:val="clear"/>
          </w:tcPr>
          <w:p>
            <w:pPr>
              <w:jc w:val="center"/>
            </w:pPr>
            <w:r>
              <w:rPr>
                <w:rFonts w:ascii="Calibri" w:cs="Calibri" w:eastAsia="Calibri" w:hAnsi="Calibri"/>
                <w:sz w:val="22"/>
                <w:szCs w:val="22"/>
              </w:rPr>
              <w:t xml:space="preserve">The Other Factory → New Hampshire</w:t>
            </w:r>
          </w:p>
        </w:tc>
        <w:tc>
          <w:tcPr>
            <w:tcW w:type="dxa" w:w="1440"/>
            <w:shd w:fill="EEF2FF" w:color="000000" w:val="clear"/>
          </w:tcPr>
          <w:p>
            <w:pPr>
              <w:jc w:val="center"/>
            </w:pPr>
            <w:r>
              <w:rPr>
                <w:rFonts w:ascii="Calibri" w:cs="Calibri" w:eastAsia="Calibri" w:hAnsi="Calibri"/>
                <w:sz w:val="22"/>
                <w:szCs w:val="22"/>
              </w:rPr>
              <w:t xml:space="preserve">174.0</w:t>
            </w:r>
          </w:p>
        </w:tc>
        <w:tc>
          <w:tcPr>
            <w:tcW w:type="dxa" w:w="1440"/>
            <w:shd w:fill="EEF2FF" w:color="000000" w:val="clear"/>
          </w:tcPr>
          <w:p>
            <w:pPr>
              <w:jc w:val="center"/>
            </w:pPr>
            <w:r>
              <w:rPr>
                <w:rFonts w:ascii="Calibri" w:cs="Calibri" w:eastAsia="Calibri" w:hAnsi="Calibri"/>
                <w:sz w:val="22"/>
                <w:szCs w:val="22"/>
              </w:rPr>
              <w:t xml:space="preserve">0.00%</w:t>
            </w:r>
          </w:p>
        </w:tc>
        <w:tc>
          <w:tcPr>
            <w:tcW w:type="dxa" w:w="1440"/>
            <w:shd w:fill="EEF2FF" w:color="000000" w:val="clear"/>
          </w:tcPr>
          <w:p>
            <w:pPr>
              <w:jc w:val="center"/>
            </w:pPr>
            <w:r>
              <w:rPr>
                <w:rFonts w:ascii="Calibri" w:cs="Calibri" w:eastAsia="Calibri" w:hAnsi="Calibri"/>
                <w:sz w:val="22"/>
                <w:szCs w:val="22"/>
              </w:rPr>
              <w:t xml:space="preserve">88.0</w:t>
            </w:r>
          </w:p>
        </w:tc>
      </w:tr>
      <w:tr>
        <w:tc>
          <w:tcPr>
            <w:tcW w:type="dxa" w:w="720"/>
          </w:tcPr>
          <w:p>
            <w:pPr>
              <w:jc w:val="center"/>
            </w:pPr>
            <w:r>
              <w:rPr>
                <w:rFonts w:ascii="Calibri" w:cs="Calibri" w:eastAsia="Calibri" w:hAnsi="Calibri"/>
                <w:sz w:val="22"/>
                <w:szCs w:val="22"/>
              </w:rPr>
              <w:t xml:space="preserve">7</w:t>
            </w:r>
          </w:p>
        </w:tc>
        <w:tc>
          <w:tcPr>
            <w:tcW w:type="dxa" w:w="3600"/>
          </w:tcPr>
          <w:p>
            <w:pPr>
              <w:jc w:val="center"/>
            </w:pPr>
            <w:r>
              <w:rPr>
                <w:rFonts w:ascii="Calibri" w:cs="Calibri" w:eastAsia="Calibri" w:hAnsi="Calibri"/>
                <w:sz w:val="22"/>
                <w:szCs w:val="22"/>
              </w:rPr>
              <w:t xml:space="preserve">Secret Factory → New Mexico</w:t>
            </w:r>
          </w:p>
        </w:tc>
        <w:tc>
          <w:tcPr>
            <w:tcW w:type="dxa" w:w="1440"/>
          </w:tcPr>
          <w:p>
            <w:pPr>
              <w:jc w:val="center"/>
            </w:pPr>
            <w:r>
              <w:rPr>
                <w:rFonts w:ascii="Calibri" w:cs="Calibri" w:eastAsia="Calibri" w:hAnsi="Calibri"/>
                <w:sz w:val="22"/>
                <w:szCs w:val="22"/>
              </w:rPr>
              <w:t xml:space="preserve">175.0</w:t>
            </w:r>
          </w:p>
        </w:tc>
        <w:tc>
          <w:tcPr>
            <w:tcW w:type="dxa" w:w="1440"/>
          </w:tcPr>
          <w:p>
            <w:pPr>
              <w:jc w:val="center"/>
            </w:pPr>
            <w:r>
              <w:rPr>
                <w:rFonts w:ascii="Calibri" w:cs="Calibri" w:eastAsia="Calibri" w:hAnsi="Calibri"/>
                <w:sz w:val="22"/>
                <w:szCs w:val="22"/>
              </w:rPr>
              <w:t xml:space="preserve">0.00%</w:t>
            </w:r>
          </w:p>
        </w:tc>
        <w:tc>
          <w:tcPr>
            <w:tcW w:type="dxa" w:w="1440"/>
          </w:tcPr>
          <w:p>
            <w:pPr>
              <w:jc w:val="center"/>
            </w:pPr>
            <w:r>
              <w:rPr>
                <w:rFonts w:ascii="Calibri" w:cs="Calibri" w:eastAsia="Calibri" w:hAnsi="Calibri"/>
                <w:sz w:val="22"/>
                <w:szCs w:val="22"/>
              </w:rPr>
              <w:t xml:space="preserve">84.0</w:t>
            </w:r>
          </w:p>
        </w:tc>
      </w:tr>
      <w:tr>
        <w:tc>
          <w:tcPr>
            <w:tcW w:type="dxa" w:w="720"/>
            <w:shd w:fill="EEF2FF" w:color="000000" w:val="clear"/>
          </w:tcPr>
          <w:p>
            <w:pPr>
              <w:jc w:val="center"/>
            </w:pPr>
            <w:r>
              <w:rPr>
                <w:rFonts w:ascii="Calibri" w:cs="Calibri" w:eastAsia="Calibri" w:hAnsi="Calibri"/>
                <w:sz w:val="22"/>
                <w:szCs w:val="22"/>
              </w:rPr>
              <w:t xml:space="preserve">8</w:t>
            </w:r>
          </w:p>
        </w:tc>
        <w:tc>
          <w:tcPr>
            <w:tcW w:type="dxa" w:w="3600"/>
            <w:shd w:fill="EEF2FF" w:color="000000" w:val="clear"/>
          </w:tcPr>
          <w:p>
            <w:pPr>
              <w:jc w:val="center"/>
            </w:pPr>
            <w:r>
              <w:rPr>
                <w:rFonts w:ascii="Calibri" w:cs="Calibri" w:eastAsia="Calibri" w:hAnsi="Calibri"/>
                <w:sz w:val="22"/>
                <w:szCs w:val="22"/>
              </w:rPr>
              <w:t xml:space="preserve">Secret Factory → Nebraska</w:t>
            </w:r>
          </w:p>
        </w:tc>
        <w:tc>
          <w:tcPr>
            <w:tcW w:type="dxa" w:w="1440"/>
            <w:shd w:fill="EEF2FF" w:color="000000" w:val="clear"/>
          </w:tcPr>
          <w:p>
            <w:pPr>
              <w:jc w:val="center"/>
            </w:pPr>
            <w:r>
              <w:rPr>
                <w:rFonts w:ascii="Calibri" w:cs="Calibri" w:eastAsia="Calibri" w:hAnsi="Calibri"/>
                <w:sz w:val="22"/>
                <w:szCs w:val="22"/>
              </w:rPr>
              <w:t xml:space="preserve">175.0</w:t>
            </w:r>
          </w:p>
        </w:tc>
        <w:tc>
          <w:tcPr>
            <w:tcW w:type="dxa" w:w="1440"/>
            <w:shd w:fill="EEF2FF" w:color="000000" w:val="clear"/>
          </w:tcPr>
          <w:p>
            <w:pPr>
              <w:jc w:val="center"/>
            </w:pPr>
            <w:r>
              <w:rPr>
                <w:rFonts w:ascii="Calibri" w:cs="Calibri" w:eastAsia="Calibri" w:hAnsi="Calibri"/>
                <w:sz w:val="22"/>
                <w:szCs w:val="22"/>
              </w:rPr>
              <w:t xml:space="preserve">0.00%</w:t>
            </w:r>
          </w:p>
        </w:tc>
        <w:tc>
          <w:tcPr>
            <w:tcW w:type="dxa" w:w="1440"/>
            <w:shd w:fill="EEF2FF" w:color="000000" w:val="clear"/>
          </w:tcPr>
          <w:p>
            <w:pPr>
              <w:jc w:val="center"/>
            </w:pPr>
            <w:r>
              <w:rPr>
                <w:rFonts w:ascii="Calibri" w:cs="Calibri" w:eastAsia="Calibri" w:hAnsi="Calibri"/>
                <w:sz w:val="22"/>
                <w:szCs w:val="22"/>
              </w:rPr>
              <w:t xml:space="preserve">84.0</w:t>
            </w:r>
          </w:p>
        </w:tc>
      </w:tr>
      <w:tr>
        <w:tc>
          <w:tcPr>
            <w:tcW w:type="dxa" w:w="720"/>
          </w:tcPr>
          <w:p>
            <w:pPr>
              <w:jc w:val="center"/>
            </w:pPr>
            <w:r>
              <w:rPr>
                <w:rFonts w:ascii="Calibri" w:cs="Calibri" w:eastAsia="Calibri" w:hAnsi="Calibri"/>
                <w:sz w:val="22"/>
                <w:szCs w:val="22"/>
              </w:rPr>
              <w:t xml:space="preserve">9</w:t>
            </w:r>
          </w:p>
        </w:tc>
        <w:tc>
          <w:tcPr>
            <w:tcW w:type="dxa" w:w="3600"/>
          </w:tcPr>
          <w:p>
            <w:pPr>
              <w:jc w:val="center"/>
            </w:pPr>
            <w:r>
              <w:rPr>
                <w:rFonts w:ascii="Calibri" w:cs="Calibri" w:eastAsia="Calibri" w:hAnsi="Calibri"/>
                <w:sz w:val="22"/>
                <w:szCs w:val="22"/>
              </w:rPr>
              <w:t xml:space="preserve">The Other Factory → Oregon</w:t>
            </w:r>
          </w:p>
        </w:tc>
        <w:tc>
          <w:tcPr>
            <w:tcW w:type="dxa" w:w="1440"/>
          </w:tcPr>
          <w:p>
            <w:pPr>
              <w:jc w:val="center"/>
            </w:pPr>
            <w:r>
              <w:rPr>
                <w:rFonts w:ascii="Calibri" w:cs="Calibri" w:eastAsia="Calibri" w:hAnsi="Calibri"/>
                <w:sz w:val="22"/>
                <w:szCs w:val="22"/>
              </w:rPr>
              <w:t xml:space="preserve">175.0</w:t>
            </w:r>
          </w:p>
        </w:tc>
        <w:tc>
          <w:tcPr>
            <w:tcW w:type="dxa" w:w="1440"/>
          </w:tcPr>
          <w:p>
            <w:pPr>
              <w:jc w:val="center"/>
            </w:pPr>
            <w:r>
              <w:rPr>
                <w:rFonts w:ascii="Calibri" w:cs="Calibri" w:eastAsia="Calibri" w:hAnsi="Calibri"/>
                <w:sz w:val="22"/>
                <w:szCs w:val="22"/>
              </w:rPr>
              <w:t xml:space="preserve">0.00%</w:t>
            </w:r>
          </w:p>
        </w:tc>
        <w:tc>
          <w:tcPr>
            <w:tcW w:type="dxa" w:w="1440"/>
          </w:tcPr>
          <w:p>
            <w:pPr>
              <w:jc w:val="center"/>
            </w:pPr>
            <w:r>
              <w:rPr>
                <w:rFonts w:ascii="Calibri" w:cs="Calibri" w:eastAsia="Calibri" w:hAnsi="Calibri"/>
                <w:sz w:val="22"/>
                <w:szCs w:val="22"/>
              </w:rPr>
              <w:t xml:space="preserve">84.0</w:t>
            </w:r>
          </w:p>
        </w:tc>
      </w:tr>
      <w:tr>
        <w:tc>
          <w:tcPr>
            <w:tcW w:type="dxa" w:w="720"/>
            <w:shd w:fill="EEF2FF" w:color="000000" w:val="clear"/>
          </w:tcPr>
          <w:p>
            <w:pPr>
              <w:jc w:val="center"/>
            </w:pPr>
            <w:r>
              <w:rPr>
                <w:rFonts w:ascii="Calibri" w:cs="Calibri" w:eastAsia="Calibri" w:hAnsi="Calibri"/>
                <w:sz w:val="22"/>
                <w:szCs w:val="22"/>
              </w:rPr>
              <w:t xml:space="preserve">10</w:t>
            </w:r>
          </w:p>
        </w:tc>
        <w:tc>
          <w:tcPr>
            <w:tcW w:type="dxa" w:w="3600"/>
            <w:shd w:fill="EEF2FF" w:color="000000" w:val="clear"/>
          </w:tcPr>
          <w:p>
            <w:pPr>
              <w:jc w:val="center"/>
            </w:pPr>
            <w:r>
              <w:rPr>
                <w:rFonts w:ascii="Calibri" w:cs="Calibri" w:eastAsia="Calibri" w:hAnsi="Calibri"/>
                <w:sz w:val="22"/>
                <w:szCs w:val="22"/>
              </w:rPr>
              <w:t xml:space="preserve">Wicked Choccy's → North Dakota</w:t>
            </w:r>
          </w:p>
        </w:tc>
        <w:tc>
          <w:tcPr>
            <w:tcW w:type="dxa" w:w="1440"/>
            <w:shd w:fill="EEF2FF" w:color="000000" w:val="clear"/>
          </w:tcPr>
          <w:p>
            <w:pPr>
              <w:jc w:val="center"/>
            </w:pPr>
            <w:r>
              <w:rPr>
                <w:rFonts w:ascii="Calibri" w:cs="Calibri" w:eastAsia="Calibri" w:hAnsi="Calibri"/>
                <w:sz w:val="22"/>
                <w:szCs w:val="22"/>
              </w:rPr>
              <w:t xml:space="preserve">175.0</w:t>
            </w:r>
          </w:p>
        </w:tc>
        <w:tc>
          <w:tcPr>
            <w:tcW w:type="dxa" w:w="1440"/>
            <w:shd w:fill="EEF2FF" w:color="000000" w:val="clear"/>
          </w:tcPr>
          <w:p>
            <w:pPr>
              <w:jc w:val="center"/>
            </w:pPr>
            <w:r>
              <w:rPr>
                <w:rFonts w:ascii="Calibri" w:cs="Calibri" w:eastAsia="Calibri" w:hAnsi="Calibri"/>
                <w:sz w:val="22"/>
                <w:szCs w:val="22"/>
              </w:rPr>
              <w:t xml:space="preserve">0.00%</w:t>
            </w:r>
          </w:p>
        </w:tc>
        <w:tc>
          <w:tcPr>
            <w:tcW w:type="dxa" w:w="1440"/>
            <w:shd w:fill="EEF2FF" w:color="000000" w:val="clear"/>
          </w:tcPr>
          <w:p>
            <w:pPr>
              <w:jc w:val="center"/>
            </w:pPr>
            <w:r>
              <w:rPr>
                <w:rFonts w:ascii="Calibri" w:cs="Calibri" w:eastAsia="Calibri" w:hAnsi="Calibri"/>
                <w:sz w:val="22"/>
                <w:szCs w:val="22"/>
              </w:rPr>
              <w:t xml:space="preserve">84.0</w:t>
            </w:r>
          </w:p>
        </w:tc>
      </w:tr>
    </w:tbl>
    <w:p>
      <w:pPr>
        <w:spacing w:after="160"/>
      </w:pPr>
    </w:p>
    <w:p>
      <w:pPr>
        <w:pStyle w:val="Heading3"/>
        <w:spacing w:after="80" w:before="180"/>
      </w:pPr>
      <w:r>
        <w:t xml:space="preserve">Bottom 10 Least Efficient Routes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1440"/>
        <w:gridCol w:w="1440"/>
        <w:gridCol w:w="1440"/>
      </w:tblGrid>
      <w:tr>
        <w:trPr>
          <w:tblHeader/>
        </w:trPr>
        <w:tc>
          <w:tcPr>
            <w:tcW w:type="dxa" w:w="720"/>
            <w:shd w:fill="1a1a2e" w:color="ffffff" w:val="clear"/>
          </w:tcPr>
          <w:p>
            <w:pPr>
              <w:jc w:val="center"/>
            </w:pPr>
            <w:r>
              <w:rPr>
                <w:rFonts w:ascii="Calibri" w:cs="Calibri" w:eastAsia="Calibri" w:hAnsi="Calibri"/>
                <w:b/>
                <w:bCs/>
                <w:color w:val="FFFFFF"/>
                <w:sz w:val="22"/>
                <w:szCs w:val="22"/>
              </w:rPr>
              <w:t xml:space="preserve">Rank</w:t>
            </w:r>
          </w:p>
        </w:tc>
        <w:tc>
          <w:tcPr>
            <w:tcW w:type="dxa" w:w="3600"/>
            <w:shd w:fill="1a1a2e" w:color="ffffff" w:val="clear"/>
          </w:tcPr>
          <w:p>
            <w:pPr>
              <w:jc w:val="center"/>
            </w:pPr>
            <w:r>
              <w:rPr>
                <w:rFonts w:ascii="Calibri" w:cs="Calibri" w:eastAsia="Calibri" w:hAnsi="Calibri"/>
                <w:b/>
                <w:bCs/>
                <w:color w:val="FFFFFF"/>
                <w:sz w:val="22"/>
                <w:szCs w:val="22"/>
              </w:rPr>
              <w:t xml:space="preserve">Route</w:t>
            </w:r>
          </w:p>
        </w:tc>
        <w:tc>
          <w:tcPr>
            <w:tcW w:type="dxa" w:w="1440"/>
            <w:shd w:fill="1a1a2e" w:color="ffffff" w:val="clear"/>
          </w:tcPr>
          <w:p>
            <w:pPr>
              <w:jc w:val="center"/>
            </w:pPr>
            <w:r>
              <w:rPr>
                <w:rFonts w:ascii="Calibri" w:cs="Calibri" w:eastAsia="Calibri" w:hAnsi="Calibri"/>
                <w:b/>
                <w:bCs/>
                <w:color w:val="FFFFFF"/>
                <w:sz w:val="22"/>
                <w:szCs w:val="22"/>
              </w:rPr>
              <w:t xml:space="preserve">Avg Lead Time (d)</w:t>
            </w:r>
          </w:p>
        </w:tc>
        <w:tc>
          <w:tcPr>
            <w:tcW w:type="dxa" w:w="1440"/>
            <w:shd w:fill="1a1a2e" w:color="ffffff" w:val="clear"/>
          </w:tcPr>
          <w:p>
            <w:pPr>
              <w:jc w:val="center"/>
            </w:pPr>
            <w:r>
              <w:rPr>
                <w:rFonts w:ascii="Calibri" w:cs="Calibri" w:eastAsia="Calibri" w:hAnsi="Calibri"/>
                <w:b/>
                <w:bCs/>
                <w:color w:val="FFFFFF"/>
                <w:sz w:val="22"/>
                <w:szCs w:val="22"/>
              </w:rPr>
              <w:t xml:space="preserve">Delay Rate (%)</w:t>
            </w:r>
          </w:p>
        </w:tc>
        <w:tc>
          <w:tcPr>
            <w:tcW w:type="dxa" w:w="1440"/>
            <w:shd w:fill="1a1a2e" w:color="ffffff" w:val="clear"/>
          </w:tcPr>
          <w:p>
            <w:pPr>
              <w:jc w:val="center"/>
            </w:pPr>
            <w:r>
              <w:rPr>
                <w:rFonts w:ascii="Calibri" w:cs="Calibri" w:eastAsia="Calibri" w:hAnsi="Calibri"/>
                <w:b/>
                <w:bCs/>
                <w:color w:val="FFFFFF"/>
                <w:sz w:val="22"/>
                <w:szCs w:val="22"/>
              </w:rPr>
              <w:t xml:space="preserve">Efficiency Score</w:t>
            </w:r>
          </w:p>
        </w:tc>
      </w:tr>
      <w:tr>
        <w:tc>
          <w:tcPr>
            <w:tcW w:type="dxa" w:w="720"/>
          </w:tcPr>
          <w:p>
            <w:pPr>
              <w:jc w:val="center"/>
            </w:pPr>
            <w:r>
              <w:rPr>
                <w:rFonts w:ascii="Calibri" w:cs="Calibri" w:eastAsia="Calibri" w:hAnsi="Calibri"/>
                <w:sz w:val="22"/>
                <w:szCs w:val="22"/>
              </w:rPr>
              <w:t xml:space="preserve">187</w:t>
            </w:r>
          </w:p>
        </w:tc>
        <w:tc>
          <w:tcPr>
            <w:tcW w:type="dxa" w:w="3600"/>
          </w:tcPr>
          <w:p>
            <w:pPr>
              <w:jc w:val="center"/>
            </w:pPr>
            <w:r>
              <w:rPr>
                <w:rFonts w:ascii="Calibri" w:cs="Calibri" w:eastAsia="Calibri" w:hAnsi="Calibri"/>
                <w:sz w:val="22"/>
                <w:szCs w:val="22"/>
              </w:rPr>
              <w:t xml:space="preserve">Secret Factory → New Jersey</w:t>
            </w:r>
          </w:p>
        </w:tc>
        <w:tc>
          <w:tcPr>
            <w:tcW w:type="dxa" w:w="1440"/>
          </w:tcPr>
          <w:p>
            <w:pPr>
              <w:jc w:val="center"/>
            </w:pPr>
            <w:r>
              <w:rPr>
                <w:rFonts w:ascii="Calibri" w:cs="Calibri" w:eastAsia="Calibri" w:hAnsi="Calibri"/>
                <w:sz w:val="22"/>
                <w:szCs w:val="22"/>
              </w:rPr>
              <w:t xml:space="preserve">182.0</w:t>
            </w:r>
          </w:p>
        </w:tc>
        <w:tc>
          <w:tcPr>
            <w:tcW w:type="dxa" w:w="1440"/>
          </w:tcPr>
          <w:p>
            <w:pPr>
              <w:jc w:val="center"/>
            </w:pPr>
            <w:r>
              <w:rPr>
                <w:rFonts w:ascii="Calibri" w:cs="Calibri" w:eastAsia="Calibri" w:hAnsi="Calibri"/>
                <w:sz w:val="22"/>
                <w:szCs w:val="22"/>
              </w:rPr>
              <w:t xml:space="preserve">100.00%</w:t>
            </w:r>
          </w:p>
        </w:tc>
        <w:tc>
          <w:tcPr>
            <w:tcW w:type="dxa" w:w="1440"/>
          </w:tcPr>
          <w:p>
            <w:pPr>
              <w:jc w:val="center"/>
            </w:pPr>
            <w:r>
              <w:rPr>
                <w:rFonts w:ascii="Calibri" w:cs="Calibri" w:eastAsia="Calibri" w:hAnsi="Calibri"/>
                <w:sz w:val="22"/>
                <w:szCs w:val="22"/>
              </w:rPr>
              <w:t xml:space="preserve">44.0</w:t>
            </w:r>
          </w:p>
        </w:tc>
      </w:tr>
      <w:tr>
        <w:tc>
          <w:tcPr>
            <w:tcW w:type="dxa" w:w="720"/>
            <w:shd w:fill="EEF2FF" w:color="000000" w:val="clear"/>
          </w:tcPr>
          <w:p>
            <w:pPr>
              <w:jc w:val="center"/>
            </w:pPr>
            <w:r>
              <w:rPr>
                <w:rFonts w:ascii="Calibri" w:cs="Calibri" w:eastAsia="Calibri" w:hAnsi="Calibri"/>
                <w:sz w:val="22"/>
                <w:szCs w:val="22"/>
              </w:rPr>
              <w:t xml:space="preserve">188</w:t>
            </w:r>
          </w:p>
        </w:tc>
        <w:tc>
          <w:tcPr>
            <w:tcW w:type="dxa" w:w="3600"/>
            <w:shd w:fill="EEF2FF" w:color="000000" w:val="clear"/>
          </w:tcPr>
          <w:p>
            <w:pPr>
              <w:jc w:val="center"/>
            </w:pPr>
            <w:r>
              <w:rPr>
                <w:rFonts w:ascii="Calibri" w:cs="Calibri" w:eastAsia="Calibri" w:hAnsi="Calibri"/>
                <w:sz w:val="22"/>
                <w:szCs w:val="22"/>
              </w:rPr>
              <w:t xml:space="preserve">Lot's O' Nuts → Maine</w:t>
            </w:r>
          </w:p>
        </w:tc>
        <w:tc>
          <w:tcPr>
            <w:tcW w:type="dxa" w:w="1440"/>
            <w:shd w:fill="EEF2FF" w:color="000000" w:val="clear"/>
          </w:tcPr>
          <w:p>
            <w:pPr>
              <w:jc w:val="center"/>
            </w:pPr>
            <w:r>
              <w:rPr>
                <w:rFonts w:ascii="Calibri" w:cs="Calibri" w:eastAsia="Calibri" w:hAnsi="Calibri"/>
                <w:sz w:val="22"/>
                <w:szCs w:val="22"/>
              </w:rPr>
              <w:t xml:space="preserve">181.0</w:t>
            </w:r>
          </w:p>
        </w:tc>
        <w:tc>
          <w:tcPr>
            <w:tcW w:type="dxa" w:w="1440"/>
            <w:shd w:fill="EEF2FF" w:color="000000" w:val="clear"/>
          </w:tcPr>
          <w:p>
            <w:pPr>
              <w:jc w:val="center"/>
            </w:pPr>
            <w:r>
              <w:rPr>
                <w:rFonts w:ascii="Calibri" w:cs="Calibri" w:eastAsia="Calibri" w:hAnsi="Calibri"/>
                <w:sz w:val="22"/>
                <w:szCs w:val="22"/>
              </w:rPr>
              <w:t xml:space="preserve">100.00%</w:t>
            </w:r>
          </w:p>
        </w:tc>
        <w:tc>
          <w:tcPr>
            <w:tcW w:type="dxa" w:w="1440"/>
            <w:shd w:fill="EEF2FF" w:color="000000" w:val="clear"/>
          </w:tcPr>
          <w:p>
            <w:pPr>
              <w:jc w:val="center"/>
            </w:pPr>
            <w:r>
              <w:rPr>
                <w:rFonts w:ascii="Calibri" w:cs="Calibri" w:eastAsia="Calibri" w:hAnsi="Calibri"/>
                <w:sz w:val="22"/>
                <w:szCs w:val="22"/>
              </w:rPr>
              <w:t xml:space="preserve">40.0</w:t>
            </w:r>
          </w:p>
        </w:tc>
      </w:tr>
      <w:tr>
        <w:tc>
          <w:tcPr>
            <w:tcW w:type="dxa" w:w="720"/>
          </w:tcPr>
          <w:p>
            <w:pPr>
              <w:jc w:val="center"/>
            </w:pPr>
            <w:r>
              <w:rPr>
                <w:rFonts w:ascii="Calibri" w:cs="Calibri" w:eastAsia="Calibri" w:hAnsi="Calibri"/>
                <w:sz w:val="22"/>
                <w:szCs w:val="22"/>
              </w:rPr>
              <w:t xml:space="preserve">189</w:t>
            </w:r>
          </w:p>
        </w:tc>
        <w:tc>
          <w:tcPr>
            <w:tcW w:type="dxa" w:w="3600"/>
          </w:tcPr>
          <w:p>
            <w:pPr>
              <w:jc w:val="center"/>
            </w:pPr>
            <w:r>
              <w:rPr>
                <w:rFonts w:ascii="Calibri" w:cs="Calibri" w:eastAsia="Calibri" w:hAnsi="Calibri"/>
                <w:sz w:val="22"/>
                <w:szCs w:val="22"/>
              </w:rPr>
              <w:t xml:space="preserve">The Other Factory → Washington</w:t>
            </w:r>
          </w:p>
        </w:tc>
        <w:tc>
          <w:tcPr>
            <w:tcW w:type="dxa" w:w="1440"/>
          </w:tcPr>
          <w:p>
            <w:pPr>
              <w:jc w:val="center"/>
            </w:pPr>
            <w:r>
              <w:rPr>
                <w:rFonts w:ascii="Calibri" w:cs="Calibri" w:eastAsia="Calibri" w:hAnsi="Calibri"/>
                <w:sz w:val="22"/>
                <w:szCs w:val="22"/>
              </w:rPr>
              <w:t xml:space="preserve">180.0</w:t>
            </w:r>
          </w:p>
        </w:tc>
        <w:tc>
          <w:tcPr>
            <w:tcW w:type="dxa" w:w="1440"/>
          </w:tcPr>
          <w:p>
            <w:pPr>
              <w:jc w:val="center"/>
            </w:pPr>
            <w:r>
              <w:rPr>
                <w:rFonts w:ascii="Calibri" w:cs="Calibri" w:eastAsia="Calibri" w:hAnsi="Calibri"/>
                <w:sz w:val="22"/>
                <w:szCs w:val="22"/>
              </w:rPr>
              <w:t xml:space="preserve">100.00%</w:t>
            </w:r>
          </w:p>
        </w:tc>
        <w:tc>
          <w:tcPr>
            <w:tcW w:type="dxa" w:w="1440"/>
          </w:tcPr>
          <w:p>
            <w:pPr>
              <w:jc w:val="center"/>
            </w:pPr>
            <w:r>
              <w:rPr>
                <w:rFonts w:ascii="Calibri" w:cs="Calibri" w:eastAsia="Calibri" w:hAnsi="Calibri"/>
                <w:sz w:val="22"/>
                <w:szCs w:val="22"/>
              </w:rPr>
              <w:t xml:space="preserve">38.0</w:t>
            </w:r>
          </w:p>
        </w:tc>
      </w:tr>
      <w:tr>
        <w:tc>
          <w:tcPr>
            <w:tcW w:type="dxa" w:w="720"/>
            <w:shd w:fill="EEF2FF" w:color="000000" w:val="clear"/>
          </w:tcPr>
          <w:p>
            <w:pPr>
              <w:jc w:val="center"/>
            </w:pPr>
            <w:r>
              <w:rPr>
                <w:rFonts w:ascii="Calibri" w:cs="Calibri" w:eastAsia="Calibri" w:hAnsi="Calibri"/>
                <w:sz w:val="22"/>
                <w:szCs w:val="22"/>
              </w:rPr>
              <w:t xml:space="preserve">190</w:t>
            </w:r>
          </w:p>
        </w:tc>
        <w:tc>
          <w:tcPr>
            <w:tcW w:type="dxa" w:w="3600"/>
            <w:shd w:fill="EEF2FF" w:color="000000" w:val="clear"/>
          </w:tcPr>
          <w:p>
            <w:pPr>
              <w:jc w:val="center"/>
            </w:pPr>
            <w:r>
              <w:rPr>
                <w:rFonts w:ascii="Calibri" w:cs="Calibri" w:eastAsia="Calibri" w:hAnsi="Calibri"/>
                <w:sz w:val="22"/>
                <w:szCs w:val="22"/>
              </w:rPr>
              <w:t xml:space="preserve">Wicked Choccy's → District of Columbia</w:t>
            </w:r>
          </w:p>
        </w:tc>
        <w:tc>
          <w:tcPr>
            <w:tcW w:type="dxa" w:w="1440"/>
            <w:shd w:fill="EEF2FF" w:color="000000" w:val="clear"/>
          </w:tcPr>
          <w:p>
            <w:pPr>
              <w:jc w:val="center"/>
            </w:pPr>
            <w:r>
              <w:rPr>
                <w:rFonts w:ascii="Calibri" w:cs="Calibri" w:eastAsia="Calibri" w:hAnsi="Calibri"/>
                <w:sz w:val="22"/>
                <w:szCs w:val="22"/>
              </w:rPr>
              <w:t xml:space="preserve">185.0</w:t>
            </w:r>
          </w:p>
        </w:tc>
        <w:tc>
          <w:tcPr>
            <w:tcW w:type="dxa" w:w="1440"/>
            <w:shd w:fill="EEF2FF" w:color="000000" w:val="clear"/>
          </w:tcPr>
          <w:p>
            <w:pPr>
              <w:jc w:val="center"/>
            </w:pPr>
            <w:r>
              <w:rPr>
                <w:rFonts w:ascii="Calibri" w:cs="Calibri" w:eastAsia="Calibri" w:hAnsi="Calibri"/>
                <w:sz w:val="22"/>
                <w:szCs w:val="22"/>
              </w:rPr>
              <w:t xml:space="preserve">25.00%</w:t>
            </w:r>
          </w:p>
        </w:tc>
        <w:tc>
          <w:tcPr>
            <w:tcW w:type="dxa" w:w="1440"/>
            <w:shd w:fill="EEF2FF" w:color="000000" w:val="clear"/>
          </w:tcPr>
          <w:p>
            <w:pPr>
              <w:jc w:val="center"/>
            </w:pPr>
            <w:r>
              <w:rPr>
                <w:rFonts w:ascii="Calibri" w:cs="Calibri" w:eastAsia="Calibri" w:hAnsi="Calibri"/>
                <w:sz w:val="22"/>
                <w:szCs w:val="22"/>
              </w:rPr>
              <w:t xml:space="preserve">36.0</w:t>
            </w:r>
          </w:p>
        </w:tc>
      </w:tr>
      <w:tr>
        <w:tc>
          <w:tcPr>
            <w:tcW w:type="dxa" w:w="720"/>
          </w:tcPr>
          <w:p>
            <w:pPr>
              <w:jc w:val="center"/>
            </w:pPr>
            <w:r>
              <w:rPr>
                <w:rFonts w:ascii="Calibri" w:cs="Calibri" w:eastAsia="Calibri" w:hAnsi="Calibri"/>
                <w:sz w:val="22"/>
                <w:szCs w:val="22"/>
              </w:rPr>
              <w:t xml:space="preserve">191</w:t>
            </w:r>
          </w:p>
        </w:tc>
        <w:tc>
          <w:tcPr>
            <w:tcW w:type="dxa" w:w="3600"/>
          </w:tcPr>
          <w:p>
            <w:pPr>
              <w:jc w:val="center"/>
            </w:pPr>
            <w:r>
              <w:rPr>
                <w:rFonts w:ascii="Calibri" w:cs="Calibri" w:eastAsia="Calibri" w:hAnsi="Calibri"/>
                <w:sz w:val="22"/>
                <w:szCs w:val="22"/>
              </w:rPr>
              <w:t xml:space="preserve">Lot's O' Nuts → Newfoundland and Labrador</w:t>
            </w:r>
          </w:p>
        </w:tc>
        <w:tc>
          <w:tcPr>
            <w:tcW w:type="dxa" w:w="1440"/>
          </w:tcPr>
          <w:p>
            <w:pPr>
              <w:jc w:val="center"/>
            </w:pPr>
            <w:r>
              <w:rPr>
                <w:rFonts w:ascii="Calibri" w:cs="Calibri" w:eastAsia="Calibri" w:hAnsi="Calibri"/>
                <w:sz w:val="22"/>
                <w:szCs w:val="22"/>
              </w:rPr>
              <w:t xml:space="preserve">183.0</w:t>
            </w:r>
          </w:p>
        </w:tc>
        <w:tc>
          <w:tcPr>
            <w:tcW w:type="dxa" w:w="1440"/>
          </w:tcPr>
          <w:p>
            <w:pPr>
              <w:jc w:val="center"/>
            </w:pPr>
            <w:r>
              <w:rPr>
                <w:rFonts w:ascii="Calibri" w:cs="Calibri" w:eastAsia="Calibri" w:hAnsi="Calibri"/>
                <w:sz w:val="22"/>
                <w:szCs w:val="22"/>
              </w:rPr>
              <w:t xml:space="preserve">100.00%</w:t>
            </w:r>
          </w:p>
        </w:tc>
        <w:tc>
          <w:tcPr>
            <w:tcW w:type="dxa" w:w="1440"/>
          </w:tcPr>
          <w:p>
            <w:pPr>
              <w:jc w:val="center"/>
            </w:pPr>
            <w:r>
              <w:rPr>
                <w:rFonts w:ascii="Calibri" w:cs="Calibri" w:eastAsia="Calibri" w:hAnsi="Calibri"/>
                <w:sz w:val="22"/>
                <w:szCs w:val="22"/>
              </w:rPr>
              <w:t xml:space="preserve">13.3</w:t>
            </w:r>
          </w:p>
        </w:tc>
      </w:tr>
      <w:tr>
        <w:tc>
          <w:tcPr>
            <w:tcW w:type="dxa" w:w="720"/>
            <w:shd w:fill="EEF2FF" w:color="000000" w:val="clear"/>
          </w:tcPr>
          <w:p>
            <w:pPr>
              <w:jc w:val="center"/>
            </w:pPr>
            <w:r>
              <w:rPr>
                <w:rFonts w:ascii="Calibri" w:cs="Calibri" w:eastAsia="Calibri" w:hAnsi="Calibri"/>
                <w:sz w:val="22"/>
                <w:szCs w:val="22"/>
              </w:rPr>
              <w:t xml:space="preserve">192</w:t>
            </w:r>
          </w:p>
        </w:tc>
        <w:tc>
          <w:tcPr>
            <w:tcW w:type="dxa" w:w="3600"/>
            <w:shd w:fill="EEF2FF" w:color="000000" w:val="clear"/>
          </w:tcPr>
          <w:p>
            <w:pPr>
              <w:jc w:val="center"/>
            </w:pPr>
            <w:r>
              <w:rPr>
                <w:rFonts w:ascii="Calibri" w:cs="Calibri" w:eastAsia="Calibri" w:hAnsi="Calibri"/>
                <w:sz w:val="22"/>
                <w:szCs w:val="22"/>
              </w:rPr>
              <w:t xml:space="preserve">Sugar Shack → Connecticut</w:t>
            </w:r>
          </w:p>
        </w:tc>
        <w:tc>
          <w:tcPr>
            <w:tcW w:type="dxa" w:w="1440"/>
            <w:shd w:fill="EEF2FF" w:color="000000" w:val="clear"/>
          </w:tcPr>
          <w:p>
            <w:pPr>
              <w:jc w:val="center"/>
            </w:pPr>
            <w:r>
              <w:rPr>
                <w:rFonts w:ascii="Calibri" w:cs="Calibri" w:eastAsia="Calibri" w:hAnsi="Calibri"/>
                <w:sz w:val="22"/>
                <w:szCs w:val="22"/>
              </w:rPr>
              <w:t xml:space="preserve">179.0</w:t>
            </w:r>
          </w:p>
        </w:tc>
        <w:tc>
          <w:tcPr>
            <w:tcW w:type="dxa" w:w="1440"/>
            <w:shd w:fill="EEF2FF" w:color="000000" w:val="clear"/>
          </w:tcPr>
          <w:p>
            <w:pPr>
              <w:jc w:val="center"/>
            </w:pPr>
            <w:r>
              <w:rPr>
                <w:rFonts w:ascii="Calibri" w:cs="Calibri" w:eastAsia="Calibri" w:hAnsi="Calibri"/>
                <w:sz w:val="22"/>
                <w:szCs w:val="22"/>
              </w:rPr>
              <w:t xml:space="preserve">100.00%</w:t>
            </w:r>
          </w:p>
        </w:tc>
        <w:tc>
          <w:tcPr>
            <w:tcW w:type="dxa" w:w="1440"/>
            <w:shd w:fill="EEF2FF" w:color="000000" w:val="clear"/>
          </w:tcPr>
          <w:p>
            <w:pPr>
              <w:jc w:val="center"/>
            </w:pPr>
            <w:r>
              <w:rPr>
                <w:rFonts w:ascii="Calibri" w:cs="Calibri" w:eastAsia="Calibri" w:hAnsi="Calibri"/>
                <w:sz w:val="22"/>
                <w:szCs w:val="22"/>
              </w:rPr>
              <w:t xml:space="preserve">12.0</w:t>
            </w:r>
          </w:p>
        </w:tc>
      </w:tr>
      <w:tr>
        <w:tc>
          <w:tcPr>
            <w:tcW w:type="dxa" w:w="720"/>
          </w:tcPr>
          <w:p>
            <w:pPr>
              <w:jc w:val="center"/>
            </w:pPr>
            <w:r>
              <w:rPr>
                <w:rFonts w:ascii="Calibri" w:cs="Calibri" w:eastAsia="Calibri" w:hAnsi="Calibri"/>
                <w:sz w:val="22"/>
                <w:szCs w:val="22"/>
              </w:rPr>
              <w:t xml:space="preserve">193</w:t>
            </w:r>
          </w:p>
        </w:tc>
        <w:tc>
          <w:tcPr>
            <w:tcW w:type="dxa" w:w="3600"/>
          </w:tcPr>
          <w:p>
            <w:pPr>
              <w:jc w:val="center"/>
            </w:pPr>
            <w:r>
              <w:rPr>
                <w:rFonts w:ascii="Calibri" w:cs="Calibri" w:eastAsia="Calibri" w:hAnsi="Calibri"/>
                <w:sz w:val="22"/>
                <w:szCs w:val="22"/>
              </w:rPr>
              <w:t xml:space="preserve">Secret Factory → New Hampshire</w:t>
            </w:r>
          </w:p>
        </w:tc>
        <w:tc>
          <w:tcPr>
            <w:tcW w:type="dxa" w:w="1440"/>
          </w:tcPr>
          <w:p>
            <w:pPr>
              <w:jc w:val="center"/>
            </w:pPr>
            <w:r>
              <w:rPr>
                <w:rFonts w:ascii="Calibri" w:cs="Calibri" w:eastAsia="Calibri" w:hAnsi="Calibri"/>
                <w:sz w:val="22"/>
                <w:szCs w:val="22"/>
              </w:rPr>
              <w:t xml:space="preserve">181.0</w:t>
            </w:r>
          </w:p>
        </w:tc>
        <w:tc>
          <w:tcPr>
            <w:tcW w:type="dxa" w:w="1440"/>
          </w:tcPr>
          <w:p>
            <w:pPr>
              <w:jc w:val="center"/>
            </w:pPr>
            <w:r>
              <w:rPr>
                <w:rFonts w:ascii="Calibri" w:cs="Calibri" w:eastAsia="Calibri" w:hAnsi="Calibri"/>
                <w:sz w:val="22"/>
                <w:szCs w:val="22"/>
              </w:rPr>
              <w:t xml:space="preserve">100.00%</w:t>
            </w:r>
          </w:p>
        </w:tc>
        <w:tc>
          <w:tcPr>
            <w:tcW w:type="dxa" w:w="1440"/>
          </w:tcPr>
          <w:p>
            <w:pPr>
              <w:jc w:val="center"/>
            </w:pPr>
            <w:r>
              <w:rPr>
                <w:rFonts w:ascii="Calibri" w:cs="Calibri" w:eastAsia="Calibri" w:hAnsi="Calibri"/>
                <w:sz w:val="22"/>
                <w:szCs w:val="22"/>
              </w:rPr>
              <w:t xml:space="preserve">12.0</w:t>
            </w:r>
          </w:p>
        </w:tc>
      </w:tr>
      <w:tr>
        <w:tc>
          <w:tcPr>
            <w:tcW w:type="dxa" w:w="720"/>
            <w:shd w:fill="EEF2FF" w:color="000000" w:val="clear"/>
          </w:tcPr>
          <w:p>
            <w:pPr>
              <w:jc w:val="center"/>
            </w:pPr>
            <w:r>
              <w:rPr>
                <w:rFonts w:ascii="Calibri" w:cs="Calibri" w:eastAsia="Calibri" w:hAnsi="Calibri"/>
                <w:sz w:val="22"/>
                <w:szCs w:val="22"/>
              </w:rPr>
              <w:t xml:space="preserve">194</w:t>
            </w:r>
          </w:p>
        </w:tc>
        <w:tc>
          <w:tcPr>
            <w:tcW w:type="dxa" w:w="3600"/>
            <w:shd w:fill="EEF2FF" w:color="000000" w:val="clear"/>
          </w:tcPr>
          <w:p>
            <w:pPr>
              <w:jc w:val="center"/>
            </w:pPr>
            <w:r>
              <w:rPr>
                <w:rFonts w:ascii="Calibri" w:cs="Calibri" w:eastAsia="Calibri" w:hAnsi="Calibri"/>
                <w:sz w:val="22"/>
                <w:szCs w:val="22"/>
              </w:rPr>
              <w:t xml:space="preserve">Sugar Shack → Delaware</w:t>
            </w:r>
          </w:p>
        </w:tc>
        <w:tc>
          <w:tcPr>
            <w:tcW w:type="dxa" w:w="1440"/>
            <w:shd w:fill="EEF2FF" w:color="000000" w:val="clear"/>
          </w:tcPr>
          <w:p>
            <w:pPr>
              <w:jc w:val="center"/>
            </w:pPr>
            <w:r>
              <w:rPr>
                <w:rFonts w:ascii="Calibri" w:cs="Calibri" w:eastAsia="Calibri" w:hAnsi="Calibri"/>
                <w:sz w:val="22"/>
                <w:szCs w:val="22"/>
              </w:rPr>
              <w:t xml:space="preserve">179.0</w:t>
            </w:r>
          </w:p>
        </w:tc>
        <w:tc>
          <w:tcPr>
            <w:tcW w:type="dxa" w:w="1440"/>
            <w:shd w:fill="EEF2FF" w:color="000000" w:val="clear"/>
          </w:tcPr>
          <w:p>
            <w:pPr>
              <w:jc w:val="center"/>
            </w:pPr>
            <w:r>
              <w:rPr>
                <w:rFonts w:ascii="Calibri" w:cs="Calibri" w:eastAsia="Calibri" w:hAnsi="Calibri"/>
                <w:sz w:val="22"/>
                <w:szCs w:val="22"/>
              </w:rPr>
              <w:t xml:space="preserve">100.00%</w:t>
            </w:r>
          </w:p>
        </w:tc>
        <w:tc>
          <w:tcPr>
            <w:tcW w:type="dxa" w:w="1440"/>
            <w:shd w:fill="EEF2FF" w:color="000000" w:val="clear"/>
          </w:tcPr>
          <w:p>
            <w:pPr>
              <w:jc w:val="center"/>
            </w:pPr>
            <w:r>
              <w:rPr>
                <w:rFonts w:ascii="Calibri" w:cs="Calibri" w:eastAsia="Calibri" w:hAnsi="Calibri"/>
                <w:sz w:val="22"/>
                <w:szCs w:val="22"/>
              </w:rPr>
              <w:t xml:space="preserve">12.0</w:t>
            </w:r>
          </w:p>
        </w:tc>
      </w:tr>
      <w:tr>
        <w:tc>
          <w:tcPr>
            <w:tcW w:type="dxa" w:w="720"/>
          </w:tcPr>
          <w:p>
            <w:pPr>
              <w:jc w:val="center"/>
            </w:pPr>
            <w:r>
              <w:rPr>
                <w:rFonts w:ascii="Calibri" w:cs="Calibri" w:eastAsia="Calibri" w:hAnsi="Calibri"/>
                <w:sz w:val="22"/>
                <w:szCs w:val="22"/>
              </w:rPr>
              <w:t xml:space="preserve">195</w:t>
            </w:r>
          </w:p>
        </w:tc>
        <w:tc>
          <w:tcPr>
            <w:tcW w:type="dxa" w:w="3600"/>
          </w:tcPr>
          <w:p>
            <w:pPr>
              <w:jc w:val="center"/>
            </w:pPr>
            <w:r>
              <w:rPr>
                <w:rFonts w:ascii="Calibri" w:cs="Calibri" w:eastAsia="Calibri" w:hAnsi="Calibri"/>
                <w:sz w:val="22"/>
                <w:szCs w:val="22"/>
              </w:rPr>
              <w:t xml:space="preserve">Sugar Shack → New Jersey</w:t>
            </w:r>
          </w:p>
        </w:tc>
        <w:tc>
          <w:tcPr>
            <w:tcW w:type="dxa" w:w="1440"/>
          </w:tcPr>
          <w:p>
            <w:pPr>
              <w:jc w:val="center"/>
            </w:pPr>
            <w:r>
              <w:rPr>
                <w:rFonts w:ascii="Calibri" w:cs="Calibri" w:eastAsia="Calibri" w:hAnsi="Calibri"/>
                <w:sz w:val="22"/>
                <w:szCs w:val="22"/>
              </w:rPr>
              <w:t xml:space="preserve">180.0</w:t>
            </w:r>
          </w:p>
        </w:tc>
        <w:tc>
          <w:tcPr>
            <w:tcW w:type="dxa" w:w="1440"/>
          </w:tcPr>
          <w:p>
            <w:pPr>
              <w:jc w:val="center"/>
            </w:pPr>
            <w:r>
              <w:rPr>
                <w:rFonts w:ascii="Calibri" w:cs="Calibri" w:eastAsia="Calibri" w:hAnsi="Calibri"/>
                <w:sz w:val="22"/>
                <w:szCs w:val="22"/>
              </w:rPr>
              <w:t xml:space="preserve">100.00%</w:t>
            </w:r>
          </w:p>
        </w:tc>
        <w:tc>
          <w:tcPr>
            <w:tcW w:type="dxa" w:w="1440"/>
          </w:tcPr>
          <w:p>
            <w:pPr>
              <w:jc w:val="center"/>
            </w:pPr>
            <w:r>
              <w:rPr>
                <w:rFonts w:ascii="Calibri" w:cs="Calibri" w:eastAsia="Calibri" w:hAnsi="Calibri"/>
                <w:sz w:val="22"/>
                <w:szCs w:val="22"/>
              </w:rPr>
              <w:t xml:space="preserve">4.0</w:t>
            </w:r>
          </w:p>
        </w:tc>
      </w:tr>
      <w:tr>
        <w:tc>
          <w:tcPr>
            <w:tcW w:type="dxa" w:w="720"/>
            <w:shd w:fill="EEF2FF" w:color="000000" w:val="clear"/>
          </w:tcPr>
          <w:p>
            <w:pPr>
              <w:jc w:val="center"/>
            </w:pPr>
            <w:r>
              <w:rPr>
                <w:rFonts w:ascii="Calibri" w:cs="Calibri" w:eastAsia="Calibri" w:hAnsi="Calibri"/>
                <w:sz w:val="22"/>
                <w:szCs w:val="22"/>
              </w:rPr>
              <w:t xml:space="preserve">196</w:t>
            </w:r>
          </w:p>
        </w:tc>
        <w:tc>
          <w:tcPr>
            <w:tcW w:type="dxa" w:w="3600"/>
            <w:shd w:fill="EEF2FF" w:color="000000" w:val="clear"/>
          </w:tcPr>
          <w:p>
            <w:pPr>
              <w:jc w:val="center"/>
            </w:pPr>
            <w:r>
              <w:rPr>
                <w:rFonts w:ascii="Calibri" w:cs="Calibri" w:eastAsia="Calibri" w:hAnsi="Calibri"/>
                <w:sz w:val="22"/>
                <w:szCs w:val="22"/>
              </w:rPr>
              <w:t xml:space="preserve">(Overall Worst)</w:t>
            </w:r>
          </w:p>
        </w:tc>
        <w:tc>
          <w:tcPr>
            <w:tcW w:type="dxa" w:w="1440"/>
            <w:shd w:fill="EEF2FF" w:color="000000" w:val="clear"/>
          </w:tcPr>
          <w:p>
            <w:pPr>
              <w:jc w:val="center"/>
            </w:pPr>
            <w:r>
              <w:rPr>
                <w:rFonts w:ascii="Calibri" w:cs="Calibri" w:eastAsia="Calibri" w:hAnsi="Calibri"/>
                <w:sz w:val="22"/>
                <w:szCs w:val="22"/>
              </w:rPr>
              <w:t xml:space="preserve">—</w:t>
            </w:r>
          </w:p>
        </w:tc>
        <w:tc>
          <w:tcPr>
            <w:tcW w:type="dxa" w:w="1440"/>
            <w:shd w:fill="EEF2FF" w:color="000000" w:val="clear"/>
          </w:tcPr>
          <w:p>
            <w:pPr>
              <w:jc w:val="center"/>
            </w:pPr>
            <w:r>
              <w:rPr>
                <w:rFonts w:ascii="Calibri" w:cs="Calibri" w:eastAsia="Calibri" w:hAnsi="Calibri"/>
                <w:sz w:val="22"/>
                <w:szCs w:val="22"/>
              </w:rPr>
              <w:t xml:space="preserve">—</w:t>
            </w:r>
          </w:p>
        </w:tc>
        <w:tc>
          <w:tcPr>
            <w:tcW w:type="dxa" w:w="1440"/>
            <w:shd w:fill="EEF2FF" w:color="000000" w:val="clear"/>
          </w:tcPr>
          <w:p>
            <w:pPr>
              <w:jc w:val="center"/>
            </w:pPr>
            <w:r>
              <w:rPr>
                <w:rFonts w:ascii="Calibri" w:cs="Calibri" w:eastAsia="Calibri" w:hAnsi="Calibri"/>
                <w:sz w:val="22"/>
                <w:szCs w:val="22"/>
              </w:rPr>
              <w:t xml:space="preserve">—</w:t>
            </w:r>
          </w:p>
        </w:tc>
      </w:tr>
    </w:tbl>
    <w:p>
      <w:pPr>
        <w:spacing w:after="160"/>
      </w:pPr>
    </w:p>
    <w:p>
      <w:pPr>
        <w:pStyle w:val="Heading2"/>
        <w:spacing w:after="100" w:before="240"/>
      </w:pPr>
      <w:r>
        <w:t xml:space="preserve">5.6 Geographic Bottleneck Analysis</w:t>
      </w:r>
    </w:p>
    <w:p>
      <w:pPr>
        <w:spacing w:after="120"/>
        <w:jc w:val="both"/>
      </w:pPr>
      <w:r>
        <w:rPr>
          <w:rFonts w:ascii="Calibri" w:cs="Calibri" w:eastAsia="Calibri" w:hAnsi="Calibri"/>
          <w:sz w:val="24"/>
          <w:szCs w:val="24"/>
        </w:rPr>
        <w:t xml:space="preserve">States with the highest delay rates represent geographic bottlenecks requiring targeted operational intervention: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00"/>
        <w:gridCol w:w="1440"/>
        <w:gridCol w:w="2000"/>
        <w:gridCol w:w="2700"/>
      </w:tblGrid>
      <w:tr>
        <w:trPr>
          <w:tblHeader/>
        </w:trPr>
        <w:tc>
          <w:tcPr>
            <w:tcW w:type="dxa" w:w="2500"/>
            <w:shd w:fill="1a1a2e" w:color="ffffff" w:val="clear"/>
          </w:tcPr>
          <w:p>
            <w:pPr>
              <w:jc w:val="center"/>
            </w:pPr>
            <w:r>
              <w:rPr>
                <w:rFonts w:ascii="Calibri" w:cs="Calibri" w:eastAsia="Calibri" w:hAnsi="Calibri"/>
                <w:b/>
                <w:bCs/>
                <w:color w:val="FFFFFF"/>
                <w:sz w:val="22"/>
                <w:szCs w:val="22"/>
              </w:rPr>
              <w:t xml:space="preserve">State</w:t>
            </w:r>
          </w:p>
        </w:tc>
        <w:tc>
          <w:tcPr>
            <w:tcW w:type="dxa" w:w="1440"/>
            <w:shd w:fill="1a1a2e" w:color="ffffff" w:val="clear"/>
          </w:tcPr>
          <w:p>
            <w:pPr>
              <w:jc w:val="center"/>
            </w:pPr>
            <w:r>
              <w:rPr>
                <w:rFonts w:ascii="Calibri" w:cs="Calibri" w:eastAsia="Calibri" w:hAnsi="Calibri"/>
                <w:b/>
                <w:bCs/>
                <w:color w:val="FFFFFF"/>
                <w:sz w:val="22"/>
                <w:szCs w:val="22"/>
              </w:rPr>
              <w:t xml:space="preserve">Orders</w:t>
            </w:r>
          </w:p>
        </w:tc>
        <w:tc>
          <w:tcPr>
            <w:tcW w:type="dxa" w:w="2000"/>
            <w:shd w:fill="1a1a2e" w:color="ffffff" w:val="clear"/>
          </w:tcPr>
          <w:p>
            <w:pPr>
              <w:jc w:val="center"/>
            </w:pPr>
            <w:r>
              <w:rPr>
                <w:rFonts w:ascii="Calibri" w:cs="Calibri" w:eastAsia="Calibri" w:hAnsi="Calibri"/>
                <w:b/>
                <w:bCs/>
                <w:color w:val="FFFFFF"/>
                <w:sz w:val="22"/>
                <w:szCs w:val="22"/>
              </w:rPr>
              <w:t xml:space="preserve">Avg Lead Time (d)</w:t>
            </w:r>
          </w:p>
        </w:tc>
        <w:tc>
          <w:tcPr>
            <w:tcW w:type="dxa" w:w="2700"/>
            <w:shd w:fill="1a1a2e" w:color="ffffff" w:val="clear"/>
          </w:tcPr>
          <w:p>
            <w:pPr>
              <w:jc w:val="center"/>
            </w:pPr>
            <w:r>
              <w:rPr>
                <w:rFonts w:ascii="Calibri" w:cs="Calibri" w:eastAsia="Calibri" w:hAnsi="Calibri"/>
                <w:b/>
                <w:bCs/>
                <w:color w:val="FFFFFF"/>
                <w:sz w:val="22"/>
                <w:szCs w:val="22"/>
              </w:rPr>
              <w:t xml:space="preserve">Delay Rate (%)</w:t>
            </w:r>
          </w:p>
        </w:tc>
      </w:tr>
      <w:tr>
        <w:tc>
          <w:tcPr>
            <w:tcW w:type="dxa" w:w="2500"/>
          </w:tcPr>
          <w:p>
            <w:pPr>
              <w:jc w:val="center"/>
            </w:pPr>
            <w:r>
              <w:rPr>
                <w:rFonts w:ascii="Calibri" w:cs="Calibri" w:eastAsia="Calibri" w:hAnsi="Calibri"/>
                <w:sz w:val="22"/>
                <w:szCs w:val="22"/>
              </w:rPr>
              <w:t xml:space="preserve">Michigan</w:t>
            </w:r>
          </w:p>
        </w:tc>
        <w:tc>
          <w:tcPr>
            <w:tcW w:type="dxa" w:w="1440"/>
          </w:tcPr>
          <w:p>
            <w:pPr>
              <w:jc w:val="center"/>
            </w:pPr>
            <w:r>
              <w:rPr>
                <w:rFonts w:ascii="Calibri" w:cs="Calibri" w:eastAsia="Calibri" w:hAnsi="Calibri"/>
                <w:sz w:val="22"/>
                <w:szCs w:val="22"/>
              </w:rPr>
              <w:t xml:space="preserve">255</w:t>
            </w:r>
          </w:p>
        </w:tc>
        <w:tc>
          <w:tcPr>
            <w:tcW w:type="dxa" w:w="2000"/>
          </w:tcPr>
          <w:p>
            <w:pPr>
              <w:jc w:val="center"/>
            </w:pPr>
            <w:r>
              <w:rPr>
                <w:rFonts w:ascii="Calibri" w:cs="Calibri" w:eastAsia="Calibri" w:hAnsi="Calibri"/>
                <w:sz w:val="22"/>
                <w:szCs w:val="22"/>
              </w:rPr>
              <w:t xml:space="preserve">177.65</w:t>
            </w:r>
          </w:p>
        </w:tc>
        <w:tc>
          <w:tcPr>
            <w:tcW w:type="dxa" w:w="2700"/>
          </w:tcPr>
          <w:p>
            <w:pPr>
              <w:jc w:val="center"/>
            </w:pPr>
            <w:r>
              <w:rPr>
                <w:rFonts w:ascii="Calibri" w:cs="Calibri" w:eastAsia="Calibri" w:hAnsi="Calibri"/>
                <w:sz w:val="22"/>
                <w:szCs w:val="22"/>
              </w:rPr>
              <w:t xml:space="preserve">17.65%</w:t>
            </w:r>
          </w:p>
        </w:tc>
      </w:tr>
      <w:tr>
        <w:tc>
          <w:tcPr>
            <w:tcW w:type="dxa" w:w="2500"/>
            <w:shd w:fill="EEF2FF" w:color="000000" w:val="clear"/>
          </w:tcPr>
          <w:p>
            <w:pPr>
              <w:jc w:val="center"/>
            </w:pPr>
            <w:r>
              <w:rPr>
                <w:rFonts w:ascii="Calibri" w:cs="Calibri" w:eastAsia="Calibri" w:hAnsi="Calibri"/>
                <w:sz w:val="22"/>
                <w:szCs w:val="22"/>
              </w:rPr>
              <w:t xml:space="preserve">Arizona</w:t>
            </w:r>
          </w:p>
        </w:tc>
        <w:tc>
          <w:tcPr>
            <w:tcW w:type="dxa" w:w="1440"/>
            <w:shd w:fill="EEF2FF" w:color="000000" w:val="clear"/>
          </w:tcPr>
          <w:p>
            <w:pPr>
              <w:jc w:val="center"/>
            </w:pPr>
            <w:r>
              <w:rPr>
                <w:rFonts w:ascii="Calibri" w:cs="Calibri" w:eastAsia="Calibri" w:hAnsi="Calibri"/>
                <w:sz w:val="22"/>
                <w:szCs w:val="22"/>
              </w:rPr>
              <w:t xml:space="preserve">224</w:t>
            </w:r>
          </w:p>
        </w:tc>
        <w:tc>
          <w:tcPr>
            <w:tcW w:type="dxa" w:w="2000"/>
            <w:shd w:fill="EEF2FF" w:color="000000" w:val="clear"/>
          </w:tcPr>
          <w:p>
            <w:pPr>
              <w:jc w:val="center"/>
            </w:pPr>
            <w:r>
              <w:rPr>
                <w:rFonts w:ascii="Calibri" w:cs="Calibri" w:eastAsia="Calibri" w:hAnsi="Calibri"/>
                <w:sz w:val="22"/>
                <w:szCs w:val="22"/>
              </w:rPr>
              <w:t xml:space="preserve">177.73</w:t>
            </w:r>
          </w:p>
        </w:tc>
        <w:tc>
          <w:tcPr>
            <w:tcW w:type="dxa" w:w="2700"/>
            <w:shd w:fill="EEF2FF" w:color="000000" w:val="clear"/>
          </w:tcPr>
          <w:p>
            <w:pPr>
              <w:jc w:val="center"/>
            </w:pPr>
            <w:r>
              <w:rPr>
                <w:rFonts w:ascii="Calibri" w:cs="Calibri" w:eastAsia="Calibri" w:hAnsi="Calibri"/>
                <w:sz w:val="22"/>
                <w:szCs w:val="22"/>
              </w:rPr>
              <w:t xml:space="preserve">20.98%</w:t>
            </w:r>
          </w:p>
        </w:tc>
      </w:tr>
      <w:tr>
        <w:tc>
          <w:tcPr>
            <w:tcW w:type="dxa" w:w="2500"/>
          </w:tcPr>
          <w:p>
            <w:pPr>
              <w:jc w:val="center"/>
            </w:pPr>
            <w:r>
              <w:rPr>
                <w:rFonts w:ascii="Calibri" w:cs="Calibri" w:eastAsia="Calibri" w:hAnsi="Calibri"/>
                <w:sz w:val="22"/>
                <w:szCs w:val="22"/>
              </w:rPr>
              <w:t xml:space="preserve">Tennessee</w:t>
            </w:r>
          </w:p>
        </w:tc>
        <w:tc>
          <w:tcPr>
            <w:tcW w:type="dxa" w:w="1440"/>
          </w:tcPr>
          <w:p>
            <w:pPr>
              <w:jc w:val="center"/>
            </w:pPr>
            <w:r>
              <w:rPr>
                <w:rFonts w:ascii="Calibri" w:cs="Calibri" w:eastAsia="Calibri" w:hAnsi="Calibri"/>
                <w:sz w:val="22"/>
                <w:szCs w:val="22"/>
              </w:rPr>
              <w:t xml:space="preserve">183</w:t>
            </w:r>
          </w:p>
        </w:tc>
        <w:tc>
          <w:tcPr>
            <w:tcW w:type="dxa" w:w="2000"/>
          </w:tcPr>
          <w:p>
            <w:pPr>
              <w:jc w:val="center"/>
            </w:pPr>
            <w:r>
              <w:rPr>
                <w:rFonts w:ascii="Calibri" w:cs="Calibri" w:eastAsia="Calibri" w:hAnsi="Calibri"/>
                <w:sz w:val="22"/>
                <w:szCs w:val="22"/>
              </w:rPr>
              <w:t xml:space="preserve">177.99</w:t>
            </w:r>
          </w:p>
        </w:tc>
        <w:tc>
          <w:tcPr>
            <w:tcW w:type="dxa" w:w="2700"/>
          </w:tcPr>
          <w:p>
            <w:pPr>
              <w:jc w:val="center"/>
            </w:pPr>
            <w:r>
              <w:rPr>
                <w:rFonts w:ascii="Calibri" w:cs="Calibri" w:eastAsia="Calibri" w:hAnsi="Calibri"/>
                <w:sz w:val="22"/>
                <w:szCs w:val="22"/>
              </w:rPr>
              <w:t xml:space="preserve">16.94%</w:t>
            </w:r>
          </w:p>
        </w:tc>
      </w:tr>
      <w:tr>
        <w:tc>
          <w:tcPr>
            <w:tcW w:type="dxa" w:w="2500"/>
            <w:shd w:fill="EEF2FF" w:color="000000" w:val="clear"/>
          </w:tcPr>
          <w:p>
            <w:pPr>
              <w:jc w:val="center"/>
            </w:pPr>
            <w:r>
              <w:rPr>
                <w:rFonts w:ascii="Calibri" w:cs="Calibri" w:eastAsia="Calibri" w:hAnsi="Calibri"/>
                <w:sz w:val="22"/>
                <w:szCs w:val="22"/>
              </w:rPr>
              <w:t xml:space="preserve">Washington</w:t>
            </w:r>
          </w:p>
        </w:tc>
        <w:tc>
          <w:tcPr>
            <w:tcW w:type="dxa" w:w="1440"/>
            <w:shd w:fill="EEF2FF" w:color="000000" w:val="clear"/>
          </w:tcPr>
          <w:p>
            <w:pPr>
              <w:jc w:val="center"/>
            </w:pPr>
            <w:r>
              <w:rPr>
                <w:rFonts w:ascii="Calibri" w:cs="Calibri" w:eastAsia="Calibri" w:hAnsi="Calibri"/>
                <w:sz w:val="22"/>
                <w:szCs w:val="22"/>
              </w:rPr>
              <w:t xml:space="preserve">506</w:t>
            </w:r>
          </w:p>
        </w:tc>
        <w:tc>
          <w:tcPr>
            <w:tcW w:type="dxa" w:w="2000"/>
            <w:shd w:fill="EEF2FF" w:color="000000" w:val="clear"/>
          </w:tcPr>
          <w:p>
            <w:pPr>
              <w:jc w:val="center"/>
            </w:pPr>
            <w:r>
              <w:rPr>
                <w:rFonts w:ascii="Calibri" w:cs="Calibri" w:eastAsia="Calibri" w:hAnsi="Calibri"/>
                <w:sz w:val="22"/>
                <w:szCs w:val="22"/>
              </w:rPr>
              <w:t xml:space="preserve">177.63</w:t>
            </w:r>
          </w:p>
        </w:tc>
        <w:tc>
          <w:tcPr>
            <w:tcW w:type="dxa" w:w="2700"/>
            <w:shd w:fill="EEF2FF" w:color="000000" w:val="clear"/>
          </w:tcPr>
          <w:p>
            <w:pPr>
              <w:jc w:val="center"/>
            </w:pPr>
            <w:r>
              <w:rPr>
                <w:rFonts w:ascii="Calibri" w:cs="Calibri" w:eastAsia="Calibri" w:hAnsi="Calibri"/>
                <w:sz w:val="22"/>
                <w:szCs w:val="22"/>
              </w:rPr>
              <w:t xml:space="preserve">16.80%</w:t>
            </w:r>
          </w:p>
        </w:tc>
      </w:tr>
      <w:tr>
        <w:tc>
          <w:tcPr>
            <w:tcW w:type="dxa" w:w="2500"/>
          </w:tcPr>
          <w:p>
            <w:pPr>
              <w:jc w:val="center"/>
            </w:pPr>
            <w:r>
              <w:rPr>
                <w:rFonts w:ascii="Calibri" w:cs="Calibri" w:eastAsia="Calibri" w:hAnsi="Calibri"/>
                <w:sz w:val="22"/>
                <w:szCs w:val="22"/>
              </w:rPr>
              <w:t xml:space="preserve">Virginia</w:t>
            </w:r>
          </w:p>
        </w:tc>
        <w:tc>
          <w:tcPr>
            <w:tcW w:type="dxa" w:w="1440"/>
          </w:tcPr>
          <w:p>
            <w:pPr>
              <w:jc w:val="center"/>
            </w:pPr>
            <w:r>
              <w:rPr>
                <w:rFonts w:ascii="Calibri" w:cs="Calibri" w:eastAsia="Calibri" w:hAnsi="Calibri"/>
                <w:sz w:val="22"/>
                <w:szCs w:val="22"/>
              </w:rPr>
              <w:t xml:space="preserve">224</w:t>
            </w:r>
          </w:p>
        </w:tc>
        <w:tc>
          <w:tcPr>
            <w:tcW w:type="dxa" w:w="2000"/>
          </w:tcPr>
          <w:p>
            <w:pPr>
              <w:jc w:val="center"/>
            </w:pPr>
            <w:r>
              <w:rPr>
                <w:rFonts w:ascii="Calibri" w:cs="Calibri" w:eastAsia="Calibri" w:hAnsi="Calibri"/>
                <w:sz w:val="22"/>
                <w:szCs w:val="22"/>
              </w:rPr>
              <w:t xml:space="preserve">177.54</w:t>
            </w:r>
          </w:p>
        </w:tc>
        <w:tc>
          <w:tcPr>
            <w:tcW w:type="dxa" w:w="2700"/>
          </w:tcPr>
          <w:p>
            <w:pPr>
              <w:jc w:val="center"/>
            </w:pPr>
            <w:r>
              <w:rPr>
                <w:rFonts w:ascii="Calibri" w:cs="Calibri" w:eastAsia="Calibri" w:hAnsi="Calibri"/>
                <w:sz w:val="22"/>
                <w:szCs w:val="22"/>
              </w:rPr>
              <w:t xml:space="preserve">16.07%</w:t>
            </w:r>
          </w:p>
        </w:tc>
      </w:tr>
      <w:tr>
        <w:tc>
          <w:tcPr>
            <w:tcW w:type="dxa" w:w="2500"/>
            <w:shd w:fill="EEF2FF" w:color="000000" w:val="clear"/>
          </w:tcPr>
          <w:p>
            <w:pPr>
              <w:jc w:val="center"/>
            </w:pPr>
            <w:r>
              <w:rPr>
                <w:rFonts w:ascii="Calibri" w:cs="Calibri" w:eastAsia="Calibri" w:hAnsi="Calibri"/>
                <w:sz w:val="22"/>
                <w:szCs w:val="22"/>
              </w:rPr>
              <w:t xml:space="preserve">New York</w:t>
            </w:r>
          </w:p>
        </w:tc>
        <w:tc>
          <w:tcPr>
            <w:tcW w:type="dxa" w:w="1440"/>
            <w:shd w:fill="EEF2FF" w:color="000000" w:val="clear"/>
          </w:tcPr>
          <w:p>
            <w:pPr>
              <w:jc w:val="center"/>
            </w:pPr>
            <w:r>
              <w:rPr>
                <w:rFonts w:ascii="Calibri" w:cs="Calibri" w:eastAsia="Calibri" w:hAnsi="Calibri"/>
                <w:sz w:val="22"/>
                <w:szCs w:val="22"/>
              </w:rPr>
              <w:t xml:space="preserve">1,128</w:t>
            </w:r>
          </w:p>
        </w:tc>
        <w:tc>
          <w:tcPr>
            <w:tcW w:type="dxa" w:w="2000"/>
            <w:shd w:fill="EEF2FF" w:color="000000" w:val="clear"/>
          </w:tcPr>
          <w:p>
            <w:pPr>
              <w:jc w:val="center"/>
            </w:pPr>
            <w:r>
              <w:rPr>
                <w:rFonts w:ascii="Calibri" w:cs="Calibri" w:eastAsia="Calibri" w:hAnsi="Calibri"/>
                <w:sz w:val="22"/>
                <w:szCs w:val="22"/>
              </w:rPr>
              <w:t xml:space="preserve">177.64</w:t>
            </w:r>
          </w:p>
        </w:tc>
        <w:tc>
          <w:tcPr>
            <w:tcW w:type="dxa" w:w="2700"/>
            <w:shd w:fill="EEF2FF" w:color="000000" w:val="clear"/>
          </w:tcPr>
          <w:p>
            <w:pPr>
              <w:jc w:val="center"/>
            </w:pPr>
            <w:r>
              <w:rPr>
                <w:rFonts w:ascii="Calibri" w:cs="Calibri" w:eastAsia="Calibri" w:hAnsi="Calibri"/>
                <w:sz w:val="22"/>
                <w:szCs w:val="22"/>
              </w:rPr>
              <w:t xml:space="preserve">15.07%</w:t>
            </w:r>
          </w:p>
        </w:tc>
      </w:tr>
      <w:tr>
        <w:tc>
          <w:tcPr>
            <w:tcW w:type="dxa" w:w="2500"/>
          </w:tcPr>
          <w:p>
            <w:pPr>
              <w:jc w:val="center"/>
            </w:pPr>
            <w:r>
              <w:rPr>
                <w:rFonts w:ascii="Calibri" w:cs="Calibri" w:eastAsia="Calibri" w:hAnsi="Calibri"/>
                <w:sz w:val="22"/>
                <w:szCs w:val="22"/>
              </w:rPr>
              <w:t xml:space="preserve">Gulf Region (avg)</w:t>
            </w:r>
          </w:p>
        </w:tc>
        <w:tc>
          <w:tcPr>
            <w:tcW w:type="dxa" w:w="1440"/>
          </w:tcPr>
          <w:p>
            <w:pPr>
              <w:jc w:val="center"/>
            </w:pPr>
            <w:r>
              <w:rPr>
                <w:rFonts w:ascii="Calibri" w:cs="Calibri" w:eastAsia="Calibri" w:hAnsi="Calibri"/>
                <w:sz w:val="22"/>
                <w:szCs w:val="22"/>
              </w:rPr>
              <w:t xml:space="preserve">—</w:t>
            </w:r>
          </w:p>
        </w:tc>
        <w:tc>
          <w:tcPr>
            <w:tcW w:type="dxa" w:w="2000"/>
          </w:tcPr>
          <w:p>
            <w:pPr>
              <w:jc w:val="center"/>
            </w:pPr>
            <w:r>
              <w:rPr>
                <w:rFonts w:ascii="Calibri" w:cs="Calibri" w:eastAsia="Calibri" w:hAnsi="Calibri"/>
                <w:sz w:val="22"/>
                <w:szCs w:val="22"/>
              </w:rPr>
              <w:t xml:space="preserve">177.62</w:t>
            </w:r>
          </w:p>
        </w:tc>
        <w:tc>
          <w:tcPr>
            <w:tcW w:type="dxa" w:w="2700"/>
          </w:tcPr>
          <w:p>
            <w:pPr>
              <w:jc w:val="center"/>
            </w:pPr>
            <w:r>
              <w:rPr>
                <w:rFonts w:ascii="Calibri" w:cs="Calibri" w:eastAsia="Calibri" w:hAnsi="Calibri"/>
                <w:sz w:val="22"/>
                <w:szCs w:val="22"/>
              </w:rPr>
              <w:t xml:space="preserve">14.01%</w:t>
            </w:r>
          </w:p>
        </w:tc>
      </w:tr>
      <w:tr>
        <w:tc>
          <w:tcPr>
            <w:tcW w:type="dxa" w:w="2500"/>
            <w:shd w:fill="EEF2FF" w:color="000000" w:val="clear"/>
          </w:tcPr>
          <w:p>
            <w:pPr>
              <w:jc w:val="center"/>
            </w:pPr>
            <w:r>
              <w:rPr>
                <w:rFonts w:ascii="Calibri" w:cs="Calibri" w:eastAsia="Calibri" w:hAnsi="Calibri"/>
                <w:sz w:val="22"/>
                <w:szCs w:val="22"/>
              </w:rPr>
              <w:t xml:space="preserve">California</w:t>
            </w:r>
          </w:p>
        </w:tc>
        <w:tc>
          <w:tcPr>
            <w:tcW w:type="dxa" w:w="1440"/>
            <w:shd w:fill="EEF2FF" w:color="000000" w:val="clear"/>
          </w:tcPr>
          <w:p>
            <w:pPr>
              <w:jc w:val="center"/>
            </w:pPr>
            <w:r>
              <w:rPr>
                <w:rFonts w:ascii="Calibri" w:cs="Calibri" w:eastAsia="Calibri" w:hAnsi="Calibri"/>
                <w:sz w:val="22"/>
                <w:szCs w:val="22"/>
              </w:rPr>
              <w:t xml:space="preserve">2,001</w:t>
            </w:r>
          </w:p>
        </w:tc>
        <w:tc>
          <w:tcPr>
            <w:tcW w:type="dxa" w:w="2000"/>
            <w:shd w:fill="EEF2FF" w:color="000000" w:val="clear"/>
          </w:tcPr>
          <w:p>
            <w:pPr>
              <w:jc w:val="center"/>
            </w:pPr>
            <w:r>
              <w:rPr>
                <w:rFonts w:ascii="Calibri" w:cs="Calibri" w:eastAsia="Calibri" w:hAnsi="Calibri"/>
                <w:sz w:val="22"/>
                <w:szCs w:val="22"/>
              </w:rPr>
              <w:t xml:space="preserve">177.49</w:t>
            </w:r>
          </w:p>
        </w:tc>
        <w:tc>
          <w:tcPr>
            <w:tcW w:type="dxa" w:w="2700"/>
            <w:shd w:fill="EEF2FF" w:color="000000" w:val="clear"/>
          </w:tcPr>
          <w:p>
            <w:pPr>
              <w:jc w:val="center"/>
            </w:pPr>
            <w:r>
              <w:rPr>
                <w:rFonts w:ascii="Calibri" w:cs="Calibri" w:eastAsia="Calibri" w:hAnsi="Calibri"/>
                <w:sz w:val="22"/>
                <w:szCs w:val="22"/>
              </w:rPr>
              <w:t xml:space="preserve">12.79%</w:t>
            </w:r>
          </w:p>
        </w:tc>
      </w:tr>
    </w:tbl>
    <w:p>
      <w:pPr>
        <w:spacing w:after="160"/>
      </w:pPr>
    </w:p>
    <w:p>
      <w:pPr>
        <w:spacing w:after="120"/>
        <w:jc w:val="both"/>
      </w:pPr>
      <w:r>
        <w:rPr>
          <w:rFonts w:ascii="Calibri" w:cs="Calibri" w:eastAsia="Calibri" w:hAnsi="Calibri"/>
          <w:sz w:val="24"/>
          <w:szCs w:val="24"/>
        </w:rPr>
        <w:t xml:space="preserve">Arizona stands out with a 20.98% delay rate — the highest among states with meaningful shipment volumes (224 orders). Michigan and Tennessee follow closely. New York, despite being the second-highest volume state, also shows elevated delays at 15.07%, representing significant customer impact at scale.</w:t>
      </w:r>
    </w:p>
    <w:p>
      <w:r>
        <w:br w:type="page"/>
      </w:r>
    </w:p>
    <w:p>
      <w:pPr>
        <w:pStyle w:val="Heading1"/>
        <w:spacing w:after="120" w:before="360"/>
      </w:pPr>
      <w:r>
        <w:t xml:space="preserve">6. Recommendations</w:t>
      </w:r>
    </w:p>
    <w:p>
      <w:pPr>
        <w:pStyle w:val="Heading2"/>
        <w:spacing w:after="100" w:before="240"/>
      </w:pPr>
      <w:r>
        <w:t xml:space="preserve">6.1 Modal Shift for Standard Class Shipments</w:t>
      </w:r>
    </w:p>
    <w:p>
      <w:pPr>
        <w:spacing w:after="120"/>
        <w:jc w:val="both"/>
      </w:pPr>
      <w:r>
        <w:rPr>
          <w:rFonts w:ascii="Calibri" w:cs="Calibri" w:eastAsia="Calibri" w:hAnsi="Calibri"/>
          <w:sz w:val="24"/>
          <w:szCs w:val="24"/>
        </w:rPr>
        <w:t xml:space="preserve">Standard Class shipping accounts for 60% of orders but carries a 22.48% delay rate — compared to 0% for Same Day and First Class. The average cost premium for upgrading from Standard Class ($4.75) to First Class ($4.72) is negligible (Standard Class is actually $0.03 more expensive on average). Nassau Candy should establish a threshold-based modal upgrade policy: orders above a certain value or to high-delay states should automatically be assigned First Class shipping.</w:t>
      </w:r>
    </w:p>
    <w:p>
      <w:pPr>
        <w:pStyle w:val="Heading2"/>
        <w:spacing w:after="100" w:before="240"/>
      </w:pPr>
      <w:r>
        <w:t xml:space="preserve">6.2 Prioritize High-Delay Routes for Investigation</w:t>
      </w:r>
    </w:p>
    <w:p>
      <w:pPr>
        <w:spacing w:after="120"/>
        <w:jc w:val="both"/>
      </w:pPr>
      <w:r>
        <w:rPr>
          <w:rFonts w:ascii="Calibri" w:cs="Calibri" w:eastAsia="Calibri" w:hAnsi="Calibri"/>
          <w:sz w:val="24"/>
          <w:szCs w:val="24"/>
        </w:rPr>
        <w:t xml:space="preserve">The bottom 10 routes — particularly Sugar Shack → New Jersey, Sugar Shack → Delaware, and Lot's O' Nuts → Maine — show 100% delay rates. These routes require immediate investigation into: carrier contracts, regional infrastructure constraints, warehouse processing delays, and order batching practices. Small-volume routes with 100% delays may benefit from route consolidation or third-party logistics partnerships.</w:t>
      </w:r>
    </w:p>
    <w:p>
      <w:pPr>
        <w:pStyle w:val="Heading2"/>
        <w:spacing w:after="100" w:before="240"/>
      </w:pPr>
      <w:r>
        <w:t xml:space="preserve">6.3 Geographic Bottleneck Mitigation</w:t>
      </w:r>
    </w:p>
    <w:p>
      <w:pPr>
        <w:spacing w:after="120"/>
        <w:jc w:val="both"/>
      </w:pPr>
      <w:r>
        <w:rPr>
          <w:rFonts w:ascii="Calibri" w:cs="Calibri" w:eastAsia="Calibri" w:hAnsi="Calibri"/>
          <w:sz w:val="24"/>
          <w:szCs w:val="24"/>
        </w:rPr>
        <w:t xml:space="preserve">Arizona, Michigan, and Tennessee show consistently above-average delay rates. Nassau Candy should explore establishing regional distribution centers or consolidation points in these states to reduce last-mile lead times. Alternatively, carrier diversification in these geographies could reduce dependency on consistently underperforming logistics partners.</w:t>
      </w:r>
    </w:p>
    <w:p>
      <w:pPr>
        <w:pStyle w:val="Heading2"/>
        <w:spacing w:after="100" w:before="240"/>
      </w:pPr>
      <w:r>
        <w:t xml:space="preserve">6.4 Leverage The Other Factory and Secret Factory Model</w:t>
      </w:r>
    </w:p>
    <w:p>
      <w:pPr>
        <w:spacing w:after="120"/>
        <w:jc w:val="both"/>
      </w:pPr>
      <w:r>
        <w:rPr>
          <w:rFonts w:ascii="Calibri" w:cs="Calibri" w:eastAsia="Calibri" w:hAnsi="Calibri"/>
          <w:sz w:val="24"/>
          <w:szCs w:val="24"/>
        </w:rPr>
        <w:t xml:space="preserve">The Other Factory and Secret Factory achieve the best efficiency scores (10% and 10.6% delay rates respectively) despite lower volumes. Their operational practices — potentially including order processing speed, carrier selection, or geographic proximity to customers — should be studied and replicated at Lot's O' Nuts and Wicked Choccy's, which handle the bulk of volume but with higher delay rates.</w:t>
      </w:r>
    </w:p>
    <w:p>
      <w:pPr>
        <w:pStyle w:val="Heading2"/>
        <w:spacing w:after="100" w:before="240"/>
      </w:pPr>
      <w:r>
        <w:t xml:space="preserve">6.5 Real-Time Monitoring Dashboard</w:t>
      </w:r>
    </w:p>
    <w:p>
      <w:pPr>
        <w:spacing w:after="120"/>
        <w:jc w:val="both"/>
      </w:pPr>
      <w:r>
        <w:rPr>
          <w:rFonts w:ascii="Calibri" w:cs="Calibri" w:eastAsia="Calibri" w:hAnsi="Calibri"/>
          <w:sz w:val="24"/>
          <w:szCs w:val="24"/>
        </w:rPr>
        <w:t xml:space="preserve">The Streamlit dashboard developed as part of this project should be deployed as a live operational tool. Key alerting thresholds to implement: delay rate exceeding 15% on any route triggers an automated review; lead time exceeding 180 days on high-volume routes triggers carrier escalation; monthly shipment volume drops exceeding 20% on a route trigger demand planning review.</w:t>
      </w:r>
    </w:p>
    <w:p>
      <w:r>
        <w:br w:type="page"/>
      </w:r>
    </w:p>
    <w:p>
      <w:pPr>
        <w:pStyle w:val="Heading1"/>
        <w:spacing w:after="120" w:before="360"/>
      </w:pPr>
      <w:r>
        <w:t xml:space="preserve">7. Conclusion</w:t>
      </w:r>
    </w:p>
    <w:p>
      <w:pPr>
        <w:spacing w:after="120"/>
        <w:jc w:val="both"/>
      </w:pPr>
      <w:r>
        <w:rPr>
          <w:rFonts w:ascii="Calibri" w:cs="Calibri" w:eastAsia="Calibri" w:hAnsi="Calibri"/>
          <w:sz w:val="24"/>
          <w:szCs w:val="24"/>
        </w:rPr>
        <w:t xml:space="preserve">This research establishes a clear, data-driven understanding of shipping route efficiency for Nassau Candy Distributor. By transforming 10,194 raw shipment records into route-level operational intelligence, this study delivers five major contributions:</w:t>
      </w:r>
    </w:p>
    <w:p>
      <w:pPr>
        <w:pStyle w:val="ListParagraph"/>
        <w:numPr>
          <w:ilvl w:val="0"/>
          <w:numId w:val="1"/>
        </w:numPr>
        <w:spacing w:after="60"/>
      </w:pPr>
      <w:r>
        <w:rPr>
          <w:rFonts w:ascii="Calibri" w:cs="Calibri" w:eastAsia="Calibri" w:hAnsi="Calibri"/>
          <w:sz w:val="24"/>
          <w:szCs w:val="24"/>
        </w:rPr>
        <w:t xml:space="preserve">A validated, corruption-corrected dataset with engineered lead time and route features</w:t>
      </w:r>
    </w:p>
    <w:p>
      <w:pPr>
        <w:pStyle w:val="ListParagraph"/>
        <w:numPr>
          <w:ilvl w:val="0"/>
          <w:numId w:val="1"/>
        </w:numPr>
        <w:spacing w:after="60"/>
      </w:pPr>
      <w:r>
        <w:rPr>
          <w:rFonts w:ascii="Calibri" w:cs="Calibri" w:eastAsia="Calibri" w:hAnsi="Calibri"/>
          <w:sz w:val="24"/>
          <w:szCs w:val="24"/>
        </w:rPr>
        <w:t xml:space="preserve">A composite Route Efficiency Score ranking all 196 Factory-to-State routes on a 0–100 scale</w:t>
      </w:r>
    </w:p>
    <w:p>
      <w:pPr>
        <w:pStyle w:val="ListParagraph"/>
        <w:numPr>
          <w:ilvl w:val="0"/>
          <w:numId w:val="1"/>
        </w:numPr>
        <w:spacing w:after="60"/>
      </w:pPr>
      <w:r>
        <w:rPr>
          <w:rFonts w:ascii="Calibri" w:cs="Calibri" w:eastAsia="Calibri" w:hAnsi="Calibri"/>
          <w:sz w:val="24"/>
          <w:szCs w:val="24"/>
        </w:rPr>
        <w:t xml:space="preserve">Identification of the most and least efficient routes with specific operational context</w:t>
      </w:r>
    </w:p>
    <w:p>
      <w:pPr>
        <w:pStyle w:val="ListParagraph"/>
        <w:numPr>
          <w:ilvl w:val="0"/>
          <w:numId w:val="1"/>
        </w:numPr>
        <w:spacing w:after="60"/>
      </w:pPr>
      <w:r>
        <w:rPr>
          <w:rFonts w:ascii="Calibri" w:cs="Calibri" w:eastAsia="Calibri" w:hAnsi="Calibri"/>
          <w:sz w:val="24"/>
          <w:szCs w:val="24"/>
        </w:rPr>
        <w:t xml:space="preserve">Geographic bottleneck mapping highlighting high-delay states for targeted intervention</w:t>
      </w:r>
    </w:p>
    <w:p>
      <w:pPr>
        <w:pStyle w:val="ListParagraph"/>
        <w:numPr>
          <w:ilvl w:val="0"/>
          <w:numId w:val="1"/>
        </w:numPr>
        <w:spacing w:after="60"/>
      </w:pPr>
      <w:r>
        <w:rPr>
          <w:rFonts w:ascii="Calibri" w:cs="Calibri" w:eastAsia="Calibri" w:hAnsi="Calibri"/>
          <w:sz w:val="24"/>
          <w:szCs w:val="24"/>
        </w:rPr>
        <w:t xml:space="preserve">Ship mode cost-performance analysis revealing that Standard Class shipping is simultaneously the most used and most delayed mode — at comparable cost to better alternatives</w:t>
      </w:r>
    </w:p>
    <w:p>
      <w:pPr>
        <w:spacing w:after="120"/>
        <w:jc w:val="both"/>
      </w:pPr>
      <w:r>
        <w:rPr>
          <w:rFonts w:ascii="Calibri" w:cs="Calibri" w:eastAsia="Calibri" w:hAnsi="Calibri"/>
          <w:sz w:val="24"/>
          <w:szCs w:val="24"/>
        </w:rPr>
        <w:t xml:space="preserve">The most actionable insight is the ship mode finding: switching high-value Standard Class orders to First Class shipping would eliminate delays at essentially zero additional cost per order. Combined with targeted route optimization for the worst-performing routes and geographic distribution center investments in Arizona and Michigan, Nassau Candy Distributor can significantly improve delivery reliability and customer satisfaction across its nationwide logistics network.</w:t>
      </w:r>
    </w:p>
    <w:p>
      <w:pPr>
        <w:spacing w:after="120"/>
        <w:jc w:val="both"/>
      </w:pPr>
      <w:r>
        <w:rPr>
          <w:rFonts w:ascii="Calibri" w:cs="Calibri" w:eastAsia="Calibri" w:hAnsi="Calibri"/>
          <w:sz w:val="24"/>
          <w:szCs w:val="24"/>
        </w:rPr>
        <w:t xml:space="preserve">Future work should incorporate real-time carrier data, weather event overlays, and predictive delay modeling using machine learning to move from reactive to proactive logistics management.</w:t>
      </w:r>
    </w:p>
    <w:p>
      <w:r>
        <w:br w:type="page"/>
      </w:r>
    </w:p>
    <w:p>
      <w:pPr>
        <w:pStyle w:val="Heading1"/>
        <w:spacing w:after="120" w:before="360"/>
      </w:pPr>
      <w:r>
        <w:t xml:space="preserve">8. References</w:t>
      </w:r>
    </w:p>
    <w:p>
      <w:pPr>
        <w:spacing w:after="120"/>
        <w:jc w:val="both"/>
      </w:pPr>
      <w:r>
        <w:rPr>
          <w:rFonts w:ascii="Calibri" w:cs="Calibri" w:eastAsia="Calibri" w:hAnsi="Calibri"/>
          <w:sz w:val="24"/>
          <w:szCs w:val="24"/>
        </w:rPr>
        <w:t xml:space="preserve">1. Nassau Candy Distributor Dataset – Unified Mentor Program (Project ID: 13638)</w:t>
      </w:r>
    </w:p>
    <w:p>
      <w:pPr>
        <w:spacing w:after="120"/>
        <w:jc w:val="both"/>
      </w:pPr>
      <w:r>
        <w:rPr>
          <w:rFonts w:ascii="Calibri" w:cs="Calibri" w:eastAsia="Calibri" w:hAnsi="Calibri"/>
          <w:sz w:val="24"/>
          <w:szCs w:val="24"/>
        </w:rPr>
        <w:t xml:space="preserve">2. Unified Mentor Program Project Specification – Factory-to-Customer Shipping Route Efficiency Analysis Technical Documentation</w:t>
      </w:r>
    </w:p>
    <w:p>
      <w:pPr>
        <w:spacing w:after="120"/>
        <w:jc w:val="both"/>
      </w:pPr>
      <w:r>
        <w:rPr>
          <w:rFonts w:ascii="Calibri" w:cs="Calibri" w:eastAsia="Calibri" w:hAnsi="Calibri"/>
          <w:sz w:val="24"/>
          <w:szCs w:val="24"/>
        </w:rPr>
        <w:t xml:space="preserve">3. McKinsey &amp; Company (2022). The State of Logistics: Achieving resilience through network redesign.</w:t>
      </w:r>
    </w:p>
    <w:p>
      <w:pPr>
        <w:spacing w:after="120"/>
        <w:jc w:val="both"/>
      </w:pPr>
      <w:r>
        <w:rPr>
          <w:rFonts w:ascii="Calibri" w:cs="Calibri" w:eastAsia="Calibri" w:hAnsi="Calibri"/>
          <w:sz w:val="24"/>
          <w:szCs w:val="24"/>
        </w:rPr>
        <w:t xml:space="preserve">4. Council of Supply Chain Management Professionals (2023). State of Logistics Report.</w:t>
      </w:r>
    </w:p>
    <w:p>
      <w:pPr>
        <w:spacing w:after="120"/>
        <w:jc w:val="both"/>
      </w:pPr>
      <w:r>
        <w:rPr>
          <w:rFonts w:ascii="Calibri" w:cs="Calibri" w:eastAsia="Calibri" w:hAnsi="Calibri"/>
          <w:sz w:val="24"/>
          <w:szCs w:val="24"/>
        </w:rPr>
        <w:t xml:space="preserve">5. Pandas Documentation – pandas.pydata.org</w:t>
      </w:r>
    </w:p>
    <w:p>
      <w:pPr>
        <w:spacing w:after="120"/>
        <w:jc w:val="both"/>
      </w:pPr>
      <w:r>
        <w:rPr>
          <w:rFonts w:ascii="Calibri" w:cs="Calibri" w:eastAsia="Calibri" w:hAnsi="Calibri"/>
          <w:sz w:val="24"/>
          <w:szCs w:val="24"/>
        </w:rPr>
        <w:t xml:space="preserve">6. Plotly Documentation – plotly.com/python</w:t>
      </w:r>
    </w:p>
    <w:p>
      <w:pPr>
        <w:spacing w:after="120"/>
        <w:jc w:val="both"/>
      </w:pPr>
      <w:r>
        <w:rPr>
          <w:rFonts w:ascii="Calibri" w:cs="Calibri" w:eastAsia="Calibri" w:hAnsi="Calibri"/>
          <w:sz w:val="24"/>
          <w:szCs w:val="24"/>
        </w:rPr>
        <w:t xml:space="preserve">7. Streamlit Documentation – docs.streamlit.io</w:t>
      </w:r>
    </w:p>
    <w:p>
      <w:pPr>
        <w:spacing w:after="120"/>
        <w:jc w:val="both"/>
      </w:pPr>
      <w:r>
        <w:rPr>
          <w:rFonts w:ascii="Calibri" w:cs="Calibri" w:eastAsia="Calibri" w:hAnsi="Calibri"/>
          <w:sz w:val="24"/>
          <w:szCs w:val="24"/>
        </w:rPr>
        <w:t xml:space="preserve">8. Scikit-learn Documentation – scikit-learn.org (MinMaxScaler)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pPr>
    <w:rPr>
      <w:rFonts w:ascii="Calibri" w:cs="Calibri" w:eastAsia="Calibri" w:hAnsi="Calibri"/>
      <w:sz w:val="24"/>
      <w:szCs w:val="24"/>
    </w:rPr>
  </w:style>
  <w:style w:type="paragraph" w:styleId="Heading1">
    <w:name w:val="Heading 1"/>
    <w:basedOn w:val="Normal"/>
    <w:next w:val="Normal"/>
    <w:pPr>
      <w:spacing w:after="120" w:before="360"/>
    </w:pPr>
    <w:rPr>
      <w:rFonts w:ascii="Calibri" w:cs="Calibri" w:eastAsia="Calibri" w:hAnsi="Calibri"/>
      <w:b/>
      <w:bCs/>
      <w:color w:val="1a1a2e"/>
      <w:sz w:val="36"/>
      <w:szCs w:val="36"/>
    </w:rPr>
  </w:style>
  <w:style w:type="paragraph" w:styleId="Heading2">
    <w:name w:val="Heading 2"/>
    <w:basedOn w:val="Normal"/>
    <w:pPr>
      <w:spacing w:after="100" w:before="240"/>
    </w:pPr>
    <w:rPr>
      <w:rFonts w:ascii="Calibri" w:cs="Calibri" w:eastAsia="Calibri" w:hAnsi="Calibri"/>
      <w:b/>
      <w:bCs/>
      <w:color w:val="2563eb"/>
      <w:sz w:val="28"/>
      <w:szCs w:val="28"/>
    </w:rPr>
  </w:style>
  <w:style w:type="paragraph" w:styleId="Heading3">
    <w:name w:val="Heading 3"/>
    <w:basedOn w:val="Normal"/>
    <w:pPr>
      <w:spacing w:after="80" w:before="180"/>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2026-07-04T06:32:48.879Z</dcterms:created>
  <dcterms:modified xsi:type="dcterms:W3CDTF">2026-07-04T06:32:48.891Z</dcterms:modified>
</cp:coreProperties>
</file>

<file path=docProps/custom.xml><?xml version="1.0" encoding="utf-8"?>
<Properties xmlns="http://schemas.openxmlformats.org/officeDocument/2006/custom-properties" xmlns:vt="http://schemas.openxmlformats.org/officeDocument/2006/docPropsVTypes"/>
</file>