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Logistic Regression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- 0.976608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Decision Tree (CART)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- 0.947368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SVM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- 0.970760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GaussianNB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- 0.941520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 KNN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Testing accuracy score - 0.959064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 /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