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68BFC" w14:textId="77777777" w:rsidR="00263E74" w:rsidRDefault="00263E74" w:rsidP="00263E74">
      <w:r>
        <w:t xml:space="preserve">**1. Standard Introductory Statement**  </w:t>
      </w:r>
    </w:p>
    <w:p w14:paraId="0FB51319" w14:textId="77777777" w:rsidR="00263E74" w:rsidRDefault="00263E74" w:rsidP="00263E74">
      <w:r>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w:t>
      </w:r>
      <w:commentRangeStart w:id="0"/>
      <w:r>
        <w:t>2024</w:t>
      </w:r>
      <w:commentRangeEnd w:id="0"/>
      <w:r w:rsidR="005B19CB">
        <w:rPr>
          <w:rStyle w:val="CommentReference"/>
        </w:rPr>
        <w:commentReference w:id="0"/>
      </w:r>
      <w:r>
        <w:t>.</w:t>
      </w:r>
    </w:p>
    <w:p w14:paraId="30AA63AD" w14:textId="77777777" w:rsidR="00263E74" w:rsidRDefault="00263E74" w:rsidP="00263E74"/>
    <w:p w14:paraId="13BEA32A" w14:textId="77777777" w:rsidR="00263E74" w:rsidRDefault="00263E74" w:rsidP="00263E74">
      <w:r>
        <w:t>---</w:t>
      </w:r>
    </w:p>
    <w:p w14:paraId="13864865" w14:textId="77777777" w:rsidR="00263E74" w:rsidRDefault="00263E74" w:rsidP="00263E74"/>
    <w:p w14:paraId="2193FEC5" w14:textId="77777777" w:rsidR="00263E74" w:rsidRDefault="00263E74" w:rsidP="00263E74">
      <w:r>
        <w:t xml:space="preserve">**2. Transaction Summary**  </w:t>
      </w:r>
    </w:p>
    <w:p w14:paraId="45A18842" w14:textId="77777777" w:rsidR="00263E74" w:rsidRDefault="00263E74" w:rsidP="00263E74">
      <w:r>
        <w:t xml:space="preserve">Between September 2, 2024, and September 13, 2024, John Diamond (US) initiated twelve (12) consecutive outgoing wire transfers of $9,000.00 each from his account (ACC-1) at LLM NY to himself at the same account. All transactions originated and terminated domestically within the U.S. On September 14, 2024, John Diamond sent a single outgoing wire of $105,000.00 from ACC-1 to ACME Investment Management, a beneficiary incorporated in the Cayman Islands. The cumulative activity reflects repeated </w:t>
      </w:r>
      <w:commentRangeStart w:id="1"/>
      <w:r>
        <w:t xml:space="preserve">round-dollar </w:t>
      </w:r>
      <w:commentRangeEnd w:id="1"/>
      <w:r w:rsidR="005B19CB">
        <w:rPr>
          <w:rStyle w:val="CommentReference"/>
        </w:rPr>
        <w:commentReference w:id="1"/>
      </w:r>
      <w:r>
        <w:t xml:space="preserve">transfers followed by a large disbursement to a high-risk jurisdiction.  </w:t>
      </w:r>
    </w:p>
    <w:p w14:paraId="60F52AC2" w14:textId="77777777" w:rsidR="00263E74" w:rsidRDefault="00263E74" w:rsidP="00263E74"/>
    <w:p w14:paraId="38764C10" w14:textId="77777777" w:rsidR="00263E74" w:rsidRDefault="00263E74" w:rsidP="00263E74">
      <w:r>
        <w:t>---</w:t>
      </w:r>
    </w:p>
    <w:p w14:paraId="2D50D7C2" w14:textId="77777777" w:rsidR="00263E74" w:rsidRDefault="00263E74" w:rsidP="00263E74"/>
    <w:p w14:paraId="1171EE11" w14:textId="77777777" w:rsidR="00263E74" w:rsidRDefault="00263E74" w:rsidP="00263E74">
      <w:commentRangeStart w:id="2"/>
      <w:r>
        <w:t xml:space="preserve">**3. Customer Profile (KYC) and Relationship Analysis**  </w:t>
      </w:r>
    </w:p>
    <w:p w14:paraId="5AC6CBAE" w14:textId="77777777" w:rsidR="00263E74" w:rsidRDefault="00263E74" w:rsidP="00263E74">
      <w:r>
        <w:t xml:space="preserve">**Legal </w:t>
      </w:r>
      <w:proofErr w:type="gramStart"/>
      <w:r>
        <w:t>Name:*</w:t>
      </w:r>
      <w:proofErr w:type="gramEnd"/>
      <w:r>
        <w:t xml:space="preserve">* John Diamond  </w:t>
      </w:r>
    </w:p>
    <w:p w14:paraId="1780B352" w14:textId="77777777" w:rsidR="00263E74" w:rsidRDefault="00263E74" w:rsidP="00263E74">
      <w:r>
        <w:t xml:space="preserve">**Customer </w:t>
      </w:r>
      <w:proofErr w:type="gramStart"/>
      <w:r>
        <w:t>ID:*</w:t>
      </w:r>
      <w:proofErr w:type="gramEnd"/>
      <w:r>
        <w:t xml:space="preserve">* C-1  </w:t>
      </w:r>
    </w:p>
    <w:p w14:paraId="3F6C13DA" w14:textId="77777777" w:rsidR="00263E74" w:rsidRDefault="00263E74" w:rsidP="00263E74">
      <w:r>
        <w:t xml:space="preserve">**Line of </w:t>
      </w:r>
      <w:proofErr w:type="gramStart"/>
      <w:r>
        <w:t>Business:*</w:t>
      </w:r>
      <w:proofErr w:type="gramEnd"/>
      <w:r>
        <w:t xml:space="preserve">* Manufacturing (Individual)  </w:t>
      </w:r>
    </w:p>
    <w:p w14:paraId="30425B7A" w14:textId="77777777" w:rsidR="00263E74" w:rsidRDefault="00263E74" w:rsidP="00263E74">
      <w:r>
        <w:t>**</w:t>
      </w:r>
      <w:proofErr w:type="gramStart"/>
      <w:r>
        <w:t>Residency:*</w:t>
      </w:r>
      <w:proofErr w:type="gramEnd"/>
      <w:r>
        <w:t xml:space="preserve">* United States  </w:t>
      </w:r>
    </w:p>
    <w:p w14:paraId="7CBC2385" w14:textId="77777777" w:rsidR="00263E74" w:rsidRDefault="00263E74" w:rsidP="00263E74">
      <w:r>
        <w:t xml:space="preserve">**Account </w:t>
      </w:r>
      <w:proofErr w:type="gramStart"/>
      <w:r>
        <w:t>ID:*</w:t>
      </w:r>
      <w:proofErr w:type="gramEnd"/>
      <w:r>
        <w:t xml:space="preserve">* ACC-1  </w:t>
      </w:r>
    </w:p>
    <w:p w14:paraId="58AB9B1A" w14:textId="77777777" w:rsidR="00263E74" w:rsidRDefault="00263E74" w:rsidP="00263E74">
      <w:r>
        <w:t xml:space="preserve">**Products </w:t>
      </w:r>
      <w:proofErr w:type="gramStart"/>
      <w:r>
        <w:t>Used:*</w:t>
      </w:r>
      <w:proofErr w:type="gramEnd"/>
      <w:r>
        <w:t xml:space="preserve">* ACH, Wire  </w:t>
      </w:r>
    </w:p>
    <w:p w14:paraId="4A6A22F7" w14:textId="77777777" w:rsidR="00263E74" w:rsidRDefault="00263E74" w:rsidP="00263E74">
      <w:r>
        <w:t xml:space="preserve">**Expected </w:t>
      </w:r>
      <w:proofErr w:type="gramStart"/>
      <w:r>
        <w:t>Geographies:*</w:t>
      </w:r>
      <w:proofErr w:type="gramEnd"/>
      <w:r>
        <w:t xml:space="preserve">* U.S.  </w:t>
      </w:r>
      <w:commentRangeEnd w:id="2"/>
      <w:r w:rsidR="005B19CB">
        <w:rPr>
          <w:rStyle w:val="CommentReference"/>
        </w:rPr>
        <w:commentReference w:id="2"/>
      </w:r>
    </w:p>
    <w:p w14:paraId="64CC347F" w14:textId="77777777" w:rsidR="00263E74" w:rsidRDefault="00263E74" w:rsidP="00263E74"/>
    <w:p w14:paraId="0906D304" w14:textId="77777777" w:rsidR="00263E74" w:rsidRDefault="00263E74" w:rsidP="00263E74">
      <w:r>
        <w:t xml:space="preserve">KYC records indicate John Diamond operates as an individual in the manufacturing sector, which is not typically </w:t>
      </w:r>
      <w:proofErr w:type="gramStart"/>
      <w:r>
        <w:t>cash-intensive</w:t>
      </w:r>
      <w:proofErr w:type="gramEnd"/>
      <w:r>
        <w:t xml:space="preserve">. No legitimate business </w:t>
      </w:r>
      <w:proofErr w:type="gramStart"/>
      <w:r>
        <w:t>rationale</w:t>
      </w:r>
      <w:proofErr w:type="gramEnd"/>
      <w:r>
        <w:t xml:space="preserve"> or documented relationship was identified between John Diamond and ACME Investment Management (Cayman Islands). The customer’s profile lacks evidence of international business ties, and the beneficiary jurisdiction (Cayman Islands) is flagged as high-risk for financial opacity. Key KYC fields, including the customer’s date of birth, SSN, and physical address, are incomplete, hindering comprehensive risk assessment.  </w:t>
      </w:r>
    </w:p>
    <w:p w14:paraId="65DA02FD" w14:textId="77777777" w:rsidR="00263E74" w:rsidRDefault="00263E74" w:rsidP="00263E74"/>
    <w:p w14:paraId="77B18923" w14:textId="77777777" w:rsidR="00263E74" w:rsidRDefault="00263E74" w:rsidP="00263E74">
      <w:r>
        <w:t>---</w:t>
      </w:r>
    </w:p>
    <w:p w14:paraId="70E6ECC3" w14:textId="77777777" w:rsidR="00263E74" w:rsidRDefault="00263E74" w:rsidP="00263E74"/>
    <w:p w14:paraId="6615E827" w14:textId="77777777" w:rsidR="00263E74" w:rsidRDefault="00263E74" w:rsidP="00263E74">
      <w:commentRangeStart w:id="3"/>
      <w:r>
        <w:t xml:space="preserve">**4. Suspicious Activity Reasons**  </w:t>
      </w:r>
      <w:commentRangeEnd w:id="3"/>
      <w:r w:rsidR="005B19CB">
        <w:rPr>
          <w:rStyle w:val="CommentReference"/>
        </w:rPr>
        <w:commentReference w:id="3"/>
      </w:r>
    </w:p>
    <w:p w14:paraId="71780EFC" w14:textId="77777777" w:rsidR="00263E74" w:rsidRDefault="00263E74" w:rsidP="00263E74">
      <w:r>
        <w:t xml:space="preserve">These transactions are being reported due to the following:  </w:t>
      </w:r>
    </w:p>
    <w:p w14:paraId="25E3CC30" w14:textId="77777777" w:rsidR="00263E74" w:rsidRDefault="00263E74" w:rsidP="00263E74">
      <w:r>
        <w:t xml:space="preserve">1. </w:t>
      </w:r>
      <w:commentRangeStart w:id="4"/>
      <w:r>
        <w:t xml:space="preserve">**No Apparent Economic or Business </w:t>
      </w:r>
      <w:proofErr w:type="gramStart"/>
      <w:r>
        <w:t>Purpose:*</w:t>
      </w:r>
      <w:proofErr w:type="gramEnd"/>
      <w:r>
        <w:t xml:space="preserve">* </w:t>
      </w:r>
      <w:commentRangeEnd w:id="4"/>
      <w:r w:rsidR="005B19CB">
        <w:rPr>
          <w:rStyle w:val="CommentReference"/>
        </w:rPr>
        <w:commentReference w:id="4"/>
      </w:r>
      <w:r>
        <w:t xml:space="preserve">The repetitive transfers to the same account, followed by a lump-sum disbursement to a high-risk jurisdiction, lack a discernible lawful rationale.  </w:t>
      </w:r>
    </w:p>
    <w:p w14:paraId="2F1D23FB" w14:textId="77777777" w:rsidR="00263E74" w:rsidRDefault="00263E74" w:rsidP="00263E74">
      <w:r>
        <w:t xml:space="preserve">2. **Structuring </w:t>
      </w:r>
      <w:proofErr w:type="gramStart"/>
      <w:r>
        <w:t>Behavior:*</w:t>
      </w:r>
      <w:proofErr w:type="gramEnd"/>
      <w:r>
        <w:t xml:space="preserve">* Twelve consecutive $9,000.00 transactions suggest deliberate avoidance of thresholds requiring enhanced scrutiny.  </w:t>
      </w:r>
    </w:p>
    <w:p w14:paraId="0BFA2629" w14:textId="77777777" w:rsidR="00263E74" w:rsidRDefault="00263E74" w:rsidP="00263E74">
      <w:r>
        <w:t xml:space="preserve">3. **High-Risk Jurisdiction </w:t>
      </w:r>
      <w:proofErr w:type="gramStart"/>
      <w:r>
        <w:t>Involvement:*</w:t>
      </w:r>
      <w:proofErr w:type="gramEnd"/>
      <w:r>
        <w:t xml:space="preserve">* The final transfer to ACME Investment Management (Cayman Islands) raises concerns due to the jurisdiction’s association with offshore financial activities.  </w:t>
      </w:r>
    </w:p>
    <w:p w14:paraId="16969B6F" w14:textId="77777777" w:rsidR="00263E74" w:rsidRDefault="00263E74" w:rsidP="00263E74">
      <w:r>
        <w:t xml:space="preserve">4. **Unusual Transaction </w:t>
      </w:r>
      <w:proofErr w:type="gramStart"/>
      <w:r>
        <w:t>Patterns:*</w:t>
      </w:r>
      <w:proofErr w:type="gramEnd"/>
      <w:r>
        <w:t xml:space="preserve">* Mirror transactions (self-directed transfers) and rapid movement of funds within a condensed timeframe deviate from expected activity for a manufacturing business.  </w:t>
      </w:r>
    </w:p>
    <w:p w14:paraId="2AD5AF11" w14:textId="77777777" w:rsidR="00263E74" w:rsidRDefault="00263E74" w:rsidP="00263E74">
      <w:r>
        <w:t xml:space="preserve">5. **Lack of Identifiable </w:t>
      </w:r>
      <w:proofErr w:type="gramStart"/>
      <w:r>
        <w:t>Relationship:*</w:t>
      </w:r>
      <w:proofErr w:type="gramEnd"/>
      <w:r>
        <w:t xml:space="preserve">* No documented nexus exists between John Diamond and the Cayman Islands beneficiary.  </w:t>
      </w:r>
    </w:p>
    <w:p w14:paraId="62A9EC6D" w14:textId="77777777" w:rsidR="00263E74" w:rsidRDefault="00263E74" w:rsidP="00263E74"/>
    <w:p w14:paraId="2BDFF5DA" w14:textId="77777777" w:rsidR="00263E74" w:rsidRDefault="00263E74" w:rsidP="00263E74">
      <w:r>
        <w:t>---</w:t>
      </w:r>
    </w:p>
    <w:p w14:paraId="49E78762" w14:textId="77777777" w:rsidR="00263E74" w:rsidRDefault="00263E74" w:rsidP="00263E74"/>
    <w:p w14:paraId="5241969D" w14:textId="77777777" w:rsidR="00263E74" w:rsidRDefault="00263E74" w:rsidP="00263E74">
      <w:r>
        <w:t xml:space="preserve">**5. Closing Statement**  </w:t>
      </w:r>
    </w:p>
    <w:p w14:paraId="393BE0F9" w14:textId="77777777" w:rsidR="00263E74" w:rsidRDefault="00263E74" w:rsidP="00263E74">
      <w:r>
        <w:t xml:space="preserve">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  </w:t>
      </w:r>
    </w:p>
    <w:p w14:paraId="4932856D" w14:textId="77777777" w:rsidR="00263E74" w:rsidRDefault="00263E74" w:rsidP="00263E74"/>
    <w:p w14:paraId="32357FB0" w14:textId="77777777" w:rsidR="00263E74" w:rsidRDefault="00263E74" w:rsidP="00263E74">
      <w:r>
        <w:t xml:space="preserve">---  </w:t>
      </w:r>
    </w:p>
    <w:p w14:paraId="203B013F" w14:textId="49705BA7" w:rsidR="00AC75CD" w:rsidRDefault="00263E74" w:rsidP="00263E74">
      <w:r>
        <w:t>**End of SAR Narrative**</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5:27:00Z" w:initials="ag">
    <w:p w14:paraId="7E613C7C" w14:textId="77777777" w:rsidR="005B19CB" w:rsidRDefault="005B19CB" w:rsidP="005B19CB">
      <w:pPr>
        <w:pStyle w:val="CommentText"/>
      </w:pPr>
      <w:r>
        <w:rPr>
          <w:rStyle w:val="CommentReference"/>
        </w:rPr>
        <w:annotationRef/>
      </w:r>
      <w:r>
        <w:t>Content is similar to other deepseek reports, only few new phrases and sentence manipulation is there.</w:t>
      </w:r>
    </w:p>
  </w:comment>
  <w:comment w:id="1" w:author="aditya gupta" w:date="2025-04-13T05:23:00Z" w:initials="ag">
    <w:p w14:paraId="5FD28BCF" w14:textId="307AD216" w:rsidR="005B19CB" w:rsidRDefault="005B19CB" w:rsidP="005B19CB">
      <w:pPr>
        <w:pStyle w:val="CommentText"/>
      </w:pPr>
      <w:r>
        <w:rPr>
          <w:rStyle w:val="CommentReference"/>
        </w:rPr>
        <w:annotationRef/>
      </w:r>
      <w:r>
        <w:t>Round dollar, not to be used</w:t>
      </w:r>
    </w:p>
  </w:comment>
  <w:comment w:id="2" w:author="aditya gupta" w:date="2025-04-13T05:24:00Z" w:initials="ag">
    <w:p w14:paraId="609925F7" w14:textId="77777777" w:rsidR="005B19CB" w:rsidRDefault="005B19CB" w:rsidP="005B19CB">
      <w:pPr>
        <w:pStyle w:val="CommentText"/>
      </w:pPr>
      <w:r>
        <w:rPr>
          <w:rStyle w:val="CommentReference"/>
        </w:rPr>
        <w:annotationRef/>
      </w:r>
      <w:r>
        <w:t>Instead of paragraph, points are displayed</w:t>
      </w:r>
    </w:p>
  </w:comment>
  <w:comment w:id="3" w:author="aditya gupta" w:date="2025-04-13T05:25:00Z" w:initials="ag">
    <w:p w14:paraId="5B4BA327" w14:textId="77777777" w:rsidR="005B19CB" w:rsidRDefault="005B19CB" w:rsidP="005B19CB">
      <w:pPr>
        <w:pStyle w:val="CommentText"/>
      </w:pPr>
      <w:r>
        <w:rPr>
          <w:rStyle w:val="CommentReference"/>
        </w:rPr>
        <w:annotationRef/>
      </w:r>
      <w:r>
        <w:t>heading</w:t>
      </w:r>
    </w:p>
  </w:comment>
  <w:comment w:id="4" w:author="aditya gupta" w:date="2025-04-13T05:25:00Z" w:initials="ag">
    <w:p w14:paraId="52106A5D" w14:textId="77777777" w:rsidR="005B19CB" w:rsidRDefault="005B19CB" w:rsidP="005B19CB">
      <w:pPr>
        <w:pStyle w:val="CommentText"/>
      </w:pPr>
      <w:r>
        <w:rPr>
          <w:rStyle w:val="CommentReference"/>
        </w:rPr>
        <w:annotationRef/>
      </w:r>
      <w:r>
        <w:t>Sub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613C7C" w15:done="0"/>
  <w15:commentEx w15:paraId="5FD28BCF" w15:done="0"/>
  <w15:commentEx w15:paraId="609925F7" w15:done="0"/>
  <w15:commentEx w15:paraId="5B4BA327" w15:done="0"/>
  <w15:commentEx w15:paraId="52106A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C58FE0" w16cex:dateUtc="2025-04-13T09:27:00Z"/>
  <w16cex:commentExtensible w16cex:durableId="6ACAC562" w16cex:dateUtc="2025-04-13T09:23:00Z"/>
  <w16cex:commentExtensible w16cex:durableId="2A562255" w16cex:dateUtc="2025-04-13T09:24:00Z"/>
  <w16cex:commentExtensible w16cex:durableId="40D65D9F" w16cex:dateUtc="2025-04-13T09:25:00Z"/>
  <w16cex:commentExtensible w16cex:durableId="2D3FFCF5" w16cex:dateUtc="2025-04-13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613C7C" w16cid:durableId="3BC58FE0"/>
  <w16cid:commentId w16cid:paraId="5FD28BCF" w16cid:durableId="6ACAC562"/>
  <w16cid:commentId w16cid:paraId="609925F7" w16cid:durableId="2A562255"/>
  <w16cid:commentId w16cid:paraId="5B4BA327" w16cid:durableId="40D65D9F"/>
  <w16cid:commentId w16cid:paraId="52106A5D" w16cid:durableId="2D3FFC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8A"/>
    <w:rsid w:val="00030D52"/>
    <w:rsid w:val="00106CFE"/>
    <w:rsid w:val="00206AB3"/>
    <w:rsid w:val="00263E74"/>
    <w:rsid w:val="002B7245"/>
    <w:rsid w:val="003152A8"/>
    <w:rsid w:val="0044308A"/>
    <w:rsid w:val="005545E6"/>
    <w:rsid w:val="005B19CB"/>
    <w:rsid w:val="00AC75CD"/>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5B9B"/>
  <w15:chartTrackingRefBased/>
  <w15:docId w15:val="{51E61789-3043-43E7-B6B4-70752DE6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8A"/>
    <w:rPr>
      <w:rFonts w:eastAsiaTheme="majorEastAsia" w:cstheme="majorBidi"/>
      <w:color w:val="272727" w:themeColor="text1" w:themeTint="D8"/>
    </w:rPr>
  </w:style>
  <w:style w:type="paragraph" w:styleId="Title">
    <w:name w:val="Title"/>
    <w:basedOn w:val="Normal"/>
    <w:next w:val="Normal"/>
    <w:link w:val="TitleChar"/>
    <w:uiPriority w:val="10"/>
    <w:qFormat/>
    <w:rsid w:val="00443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8A"/>
    <w:pPr>
      <w:spacing w:before="160"/>
      <w:jc w:val="center"/>
    </w:pPr>
    <w:rPr>
      <w:i/>
      <w:iCs/>
      <w:color w:val="404040" w:themeColor="text1" w:themeTint="BF"/>
    </w:rPr>
  </w:style>
  <w:style w:type="character" w:customStyle="1" w:styleId="QuoteChar">
    <w:name w:val="Quote Char"/>
    <w:basedOn w:val="DefaultParagraphFont"/>
    <w:link w:val="Quote"/>
    <w:uiPriority w:val="29"/>
    <w:rsid w:val="0044308A"/>
    <w:rPr>
      <w:i/>
      <w:iCs/>
      <w:color w:val="404040" w:themeColor="text1" w:themeTint="BF"/>
    </w:rPr>
  </w:style>
  <w:style w:type="paragraph" w:styleId="ListParagraph">
    <w:name w:val="List Paragraph"/>
    <w:basedOn w:val="Normal"/>
    <w:uiPriority w:val="34"/>
    <w:qFormat/>
    <w:rsid w:val="0044308A"/>
    <w:pPr>
      <w:ind w:left="720"/>
      <w:contextualSpacing/>
    </w:pPr>
  </w:style>
  <w:style w:type="character" w:styleId="IntenseEmphasis">
    <w:name w:val="Intense Emphasis"/>
    <w:basedOn w:val="DefaultParagraphFont"/>
    <w:uiPriority w:val="21"/>
    <w:qFormat/>
    <w:rsid w:val="0044308A"/>
    <w:rPr>
      <w:i/>
      <w:iCs/>
      <w:color w:val="0F4761" w:themeColor="accent1" w:themeShade="BF"/>
    </w:rPr>
  </w:style>
  <w:style w:type="paragraph" w:styleId="IntenseQuote">
    <w:name w:val="Intense Quote"/>
    <w:basedOn w:val="Normal"/>
    <w:next w:val="Normal"/>
    <w:link w:val="IntenseQuoteChar"/>
    <w:uiPriority w:val="30"/>
    <w:qFormat/>
    <w:rsid w:val="00443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08A"/>
    <w:rPr>
      <w:i/>
      <w:iCs/>
      <w:color w:val="0F4761" w:themeColor="accent1" w:themeShade="BF"/>
    </w:rPr>
  </w:style>
  <w:style w:type="character" w:styleId="IntenseReference">
    <w:name w:val="Intense Reference"/>
    <w:basedOn w:val="DefaultParagraphFont"/>
    <w:uiPriority w:val="32"/>
    <w:qFormat/>
    <w:rsid w:val="0044308A"/>
    <w:rPr>
      <w:b/>
      <w:bCs/>
      <w:smallCaps/>
      <w:color w:val="0F4761" w:themeColor="accent1" w:themeShade="BF"/>
      <w:spacing w:val="5"/>
    </w:rPr>
  </w:style>
  <w:style w:type="character" w:styleId="CommentReference">
    <w:name w:val="annotation reference"/>
    <w:basedOn w:val="DefaultParagraphFont"/>
    <w:uiPriority w:val="99"/>
    <w:semiHidden/>
    <w:unhideWhenUsed/>
    <w:rsid w:val="005B19CB"/>
    <w:rPr>
      <w:sz w:val="16"/>
      <w:szCs w:val="16"/>
    </w:rPr>
  </w:style>
  <w:style w:type="paragraph" w:styleId="CommentText">
    <w:name w:val="annotation text"/>
    <w:basedOn w:val="Normal"/>
    <w:link w:val="CommentTextChar"/>
    <w:uiPriority w:val="99"/>
    <w:unhideWhenUsed/>
    <w:rsid w:val="005B19CB"/>
    <w:pPr>
      <w:spacing w:line="240" w:lineRule="auto"/>
    </w:pPr>
    <w:rPr>
      <w:sz w:val="20"/>
      <w:szCs w:val="20"/>
    </w:rPr>
  </w:style>
  <w:style w:type="character" w:customStyle="1" w:styleId="CommentTextChar">
    <w:name w:val="Comment Text Char"/>
    <w:basedOn w:val="DefaultParagraphFont"/>
    <w:link w:val="CommentText"/>
    <w:uiPriority w:val="99"/>
    <w:rsid w:val="005B19CB"/>
    <w:rPr>
      <w:sz w:val="20"/>
      <w:szCs w:val="20"/>
    </w:rPr>
  </w:style>
  <w:style w:type="paragraph" w:styleId="CommentSubject">
    <w:name w:val="annotation subject"/>
    <w:basedOn w:val="CommentText"/>
    <w:next w:val="CommentText"/>
    <w:link w:val="CommentSubjectChar"/>
    <w:uiPriority w:val="99"/>
    <w:semiHidden/>
    <w:unhideWhenUsed/>
    <w:rsid w:val="005B19CB"/>
    <w:rPr>
      <w:b/>
      <w:bCs/>
    </w:rPr>
  </w:style>
  <w:style w:type="character" w:customStyle="1" w:styleId="CommentSubjectChar">
    <w:name w:val="Comment Subject Char"/>
    <w:basedOn w:val="CommentTextChar"/>
    <w:link w:val="CommentSubject"/>
    <w:uiPriority w:val="99"/>
    <w:semiHidden/>
    <w:rsid w:val="005B1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2025-04-13T05:09:00Z</dcterms:created>
  <dcterms:modified xsi:type="dcterms:W3CDTF">2025-04-13T09:27:00Z</dcterms:modified>
</cp:coreProperties>
</file>