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start-here-sentinel-build-pack-index"/>
    <w:p>
      <w:pPr>
        <w:pStyle w:val="Heading1"/>
      </w:pPr>
      <w:r>
        <w:t xml:space="preserve">START HERE — Sentinel build pack index</w:t>
      </w:r>
    </w:p>
    <w:p>
      <w:pPr>
        <w:pStyle w:val="FirstParagraph"/>
      </w:pPr>
      <w:r>
        <w:t xml:space="preserve">Read this file first. It says what each attachment is, which document wins where two disagree, what to build, and how to know each step is done.</w:t>
      </w:r>
    </w:p>
    <w:p>
      <w:r>
        <w:pict>
          <v:rect style="width:0;height:1.5pt" o:hralign="center" o:hrstd="t" o:hr="t"/>
        </w:pict>
      </w:r>
    </w:p>
    <w:bookmarkStart w:id="20" w:name="the-attachments"/>
    <w:p>
      <w:pPr>
        <w:pStyle w:val="Heading2"/>
      </w:pPr>
      <w:r>
        <w:t xml:space="preserve">1. The attachments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What it is</w:t>
            </w:r>
          </w:p>
        </w:tc>
        <w:tc>
          <w:tcPr/>
          <w:p>
            <w:pPr>
              <w:pStyle w:val="Compact"/>
              <w:jc w:val="left"/>
            </w:pPr>
            <w:r>
              <w:t xml:space="preserve">How to use it</w:t>
            </w:r>
          </w:p>
        </w:tc>
      </w:tr>
      <w:tr>
        <w:tc>
          <w:tcPr/>
          <w:p>
            <w:pPr>
              <w:pStyle w:val="Compact"/>
              <w:jc w:val="left"/>
            </w:pPr>
            <w:r>
              <w:rPr>
                <w:bCs/>
                <w:b/>
              </w:rPr>
              <w:t xml:space="preserve">00_START_HERE</w:t>
            </w:r>
          </w:p>
        </w:tc>
        <w:tc>
          <w:tcPr/>
          <w:p>
            <w:pPr>
              <w:pStyle w:val="Compact"/>
              <w:jc w:val="left"/>
            </w:pPr>
            <w:r>
              <w:t xml:space="preserve">This file</w:t>
            </w:r>
          </w:p>
        </w:tc>
        <w:tc>
          <w:tcPr/>
          <w:p>
            <w:pPr>
              <w:pStyle w:val="Compact"/>
              <w:jc w:val="left"/>
            </w:pPr>
            <w:r>
              <w:t xml:space="preserve">Read first, then follow the build order in §4</w:t>
            </w:r>
          </w:p>
        </w:tc>
      </w:tr>
      <w:tr>
        <w:tc>
          <w:tcPr/>
          <w:p>
            <w:pPr>
              <w:pStyle w:val="Compact"/>
              <w:jc w:val="left"/>
            </w:pPr>
            <w:r>
              <w:rPr>
                <w:bCs/>
                <w:b/>
              </w:rPr>
              <w:t xml:space="preserve">Sentinel_v2_Spec</w:t>
            </w:r>
          </w:p>
        </w:tc>
        <w:tc>
          <w:tcPr/>
          <w:p>
            <w:pPr>
              <w:pStyle w:val="Compact"/>
              <w:jc w:val="left"/>
            </w:pPr>
            <w:r>
              <w:t xml:space="preserve">The reference library: component definitions (</w:t>
            </w:r>
            <w:r>
              <w:rPr>
                <w:rStyle w:val="VerbatimChar"/>
              </w:rPr>
              <w:t xml:space="preserve">A1</w:t>
            </w:r>
            <w:r>
              <w:t xml:space="preserve">–</w:t>
            </w:r>
            <w:r>
              <w:rPr>
                <w:rStyle w:val="VerbatimChar"/>
              </w:rPr>
              <w:t xml:space="preserve">A3</w:t>
            </w:r>
            <w:r>
              <w:t xml:space="preserve">,</w:t>
            </w:r>
            <w:r>
              <w:t xml:space="preserve"> </w:t>
            </w:r>
            <w:r>
              <w:rPr>
                <w:rStyle w:val="VerbatimChar"/>
              </w:rPr>
              <w:t xml:space="preserve">C1</w:t>
            </w:r>
            <w:r>
              <w:t xml:space="preserve">–</w:t>
            </w:r>
            <w:r>
              <w:rPr>
                <w:rStyle w:val="VerbatimChar"/>
              </w:rPr>
              <w:t xml:space="preserve">C20</w:t>
            </w:r>
            <w:r>
              <w:t xml:space="preserve">), the chart set (</w:t>
            </w:r>
            <w:r>
              <w:rPr>
                <w:rStyle w:val="VerbatimChar"/>
              </w:rPr>
              <w:t xml:space="preserve">V1</w:t>
            </w:r>
            <w:r>
              <w:t xml:space="preserve">–</w:t>
            </w:r>
            <w:r>
              <w:rPr>
                <w:rStyle w:val="VerbatimChar"/>
              </w:rPr>
              <w:t xml:space="preserve">V8</w:t>
            </w:r>
            <w:r>
              <w:t xml:space="preserve">), the colour rule, and the full copy for Journeys A–D</w:t>
            </w:r>
          </w:p>
        </w:tc>
        <w:tc>
          <w:tcPr/>
          <w:p>
            <w:pPr>
              <w:pStyle w:val="Compact"/>
              <w:jc w:val="left"/>
            </w:pPr>
            <w:r>
              <w:t xml:space="preserve">Look things up in it. Do not read it front to back and start building from Part 7 — its deliverables list assumes a Figma design file, and this is a code project</w:t>
            </w:r>
          </w:p>
        </w:tc>
      </w:tr>
      <w:tr>
        <w:tc>
          <w:tcPr/>
          <w:p>
            <w:pPr>
              <w:pStyle w:val="Compact"/>
              <w:jc w:val="left"/>
            </w:pPr>
            <w:r>
              <w:rPr>
                <w:bCs/>
                <w:b/>
              </w:rPr>
              <w:t xml:space="preserve">Sentinel_v3_Review_and_Spec</w:t>
            </w:r>
          </w:p>
        </w:tc>
        <w:tc>
          <w:tcPr/>
          <w:p>
            <w:pPr>
              <w:pStyle w:val="Compact"/>
              <w:jc w:val="left"/>
            </w:pPr>
            <w:r>
              <w:t xml:space="preserve">The current review: code-level findings (</w:t>
            </w:r>
            <w:r>
              <w:rPr>
                <w:rStyle w:val="VerbatimChar"/>
              </w:rPr>
              <w:t xml:space="preserve">B1</w:t>
            </w:r>
            <w:r>
              <w:t xml:space="preserve">–</w:t>
            </w:r>
            <w:r>
              <w:rPr>
                <w:rStyle w:val="VerbatimChar"/>
              </w:rPr>
              <w:t xml:space="preserve">B6</w:t>
            </w:r>
            <w:r>
              <w:t xml:space="preserve">,</w:t>
            </w:r>
            <w:r>
              <w:t xml:space="preserve"> </w:t>
            </w:r>
            <w:r>
              <w:rPr>
                <w:rStyle w:val="VerbatimChar"/>
              </w:rPr>
              <w:t xml:space="preserve">D1</w:t>
            </w:r>
            <w:r>
              <w:t xml:space="preserve">–</w:t>
            </w:r>
            <w:r>
              <w:rPr>
                <w:rStyle w:val="VerbatimChar"/>
              </w:rPr>
              <w:t xml:space="preserve">D7</w:t>
            </w:r>
            <w:r>
              <w:t xml:space="preserve">), the three laws, the corrected motion spec, and the reference list</w:t>
            </w:r>
          </w:p>
        </w:tc>
        <w:tc>
          <w:tcPr/>
          <w:p>
            <w:pPr>
              <w:pStyle w:val="Compact"/>
              <w:jc w:val="left"/>
            </w:pPr>
            <w:r>
              <w:rPr>
                <w:bCs/>
                <w:b/>
              </w:rPr>
              <w:t xml:space="preserve">This is the operative document.</w:t>
            </w:r>
            <w:r>
              <w:t xml:space="preserve"> </w:t>
            </w:r>
            <w:r>
              <w:t xml:space="preserve">Its Part 8 is a line-level review of the code you are working in</w:t>
            </w:r>
          </w:p>
        </w:tc>
      </w:tr>
      <w:tr>
        <w:tc>
          <w:tcPr/>
          <w:p>
            <w:pPr>
              <w:pStyle w:val="Compact"/>
              <w:jc w:val="left"/>
            </w:pPr>
            <w:r>
              <w:rPr>
                <w:bCs/>
                <w:b/>
              </w:rPr>
              <w:t xml:space="preserve">Sentinel_Pattern_Plate_1</w:t>
            </w:r>
          </w:p>
        </w:tc>
        <w:tc>
          <w:tcPr/>
          <w:p>
            <w:pPr>
              <w:pStyle w:val="Compact"/>
              <w:jc w:val="left"/>
            </w:pPr>
            <w:r>
              <w:t xml:space="preserve">Process, thinking and loading states</w:t>
            </w:r>
          </w:p>
        </w:tc>
        <w:tc>
          <w:tcPr/>
          <w:p>
            <w:pPr>
              <w:pStyle w:val="Compact"/>
              <w:jc w:val="left"/>
            </w:pPr>
            <w:r>
              <w:t xml:space="preserve">The visual target for Step 5</w:t>
            </w:r>
          </w:p>
        </w:tc>
      </w:tr>
      <w:tr>
        <w:tc>
          <w:tcPr/>
          <w:p>
            <w:pPr>
              <w:pStyle w:val="Compact"/>
              <w:jc w:val="left"/>
            </w:pPr>
            <w:r>
              <w:rPr>
                <w:bCs/>
                <w:b/>
              </w:rPr>
              <w:t xml:space="preserve">Sentinel_Pattern_Plate_2</w:t>
            </w:r>
          </w:p>
        </w:tc>
        <w:tc>
          <w:tcPr/>
          <w:p>
            <w:pPr>
              <w:pStyle w:val="Compact"/>
              <w:jc w:val="left"/>
            </w:pPr>
            <w:r>
              <w:t xml:space="preserve">The four free-text response buckets</w:t>
            </w:r>
          </w:p>
        </w:tc>
        <w:tc>
          <w:tcPr/>
          <w:p>
            <w:pPr>
              <w:pStyle w:val="Compact"/>
              <w:jc w:val="left"/>
            </w:pPr>
            <w:r>
              <w:t xml:space="preserve">The visual target for Step 2</w:t>
            </w:r>
          </w:p>
        </w:tc>
      </w:tr>
      <w:tr>
        <w:tc>
          <w:tcPr/>
          <w:p>
            <w:pPr>
              <w:pStyle w:val="Compact"/>
              <w:jc w:val="left"/>
            </w:pPr>
            <w:r>
              <w:rPr>
                <w:bCs/>
                <w:b/>
              </w:rPr>
              <w:t xml:space="preserve">Sentinel_Pattern_Plate_3</w:t>
            </w:r>
          </w:p>
        </w:tc>
        <w:tc>
          <w:tcPr/>
          <w:p>
            <w:pPr>
              <w:pStyle w:val="Compact"/>
              <w:jc w:val="left"/>
            </w:pPr>
            <w:r>
              <w:t xml:space="preserve">The composer law, the three-row dock, chip variants, focus ring, scroll-to-bottom</w:t>
            </w:r>
          </w:p>
        </w:tc>
        <w:tc>
          <w:tcPr/>
          <w:p>
            <w:pPr>
              <w:pStyle w:val="Compact"/>
              <w:jc w:val="left"/>
            </w:pPr>
            <w:r>
              <w:t xml:space="preserve">The visual target for Steps 3 and 4</w:t>
            </w:r>
          </w:p>
        </w:tc>
      </w:tr>
      <w:tr>
        <w:tc>
          <w:tcPr/>
          <w:p>
            <w:pPr>
              <w:pStyle w:val="Compact"/>
              <w:jc w:val="left"/>
            </w:pPr>
            <w:r>
              <w:rPr>
                <w:bCs/>
                <w:b/>
              </w:rPr>
              <w:t xml:space="preserve">Sentinel_Pattern_Plate_4</w:t>
            </w:r>
          </w:p>
        </w:tc>
        <w:tc>
          <w:tcPr/>
          <w:p>
            <w:pPr>
              <w:pStyle w:val="Compact"/>
              <w:jc w:val="left"/>
            </w:pPr>
            <w:r>
              <w:t xml:space="preserve">Review and confirm before acting, and the success state</w:t>
            </w:r>
          </w:p>
        </w:tc>
        <w:tc>
          <w:tcPr/>
          <w:p>
            <w:pPr>
              <w:pStyle w:val="Compact"/>
              <w:jc w:val="left"/>
            </w:pPr>
            <w:r>
              <w:t xml:space="preserve">The visual target for the confirm step in Step 7</w:t>
            </w:r>
          </w:p>
        </w:tc>
      </w:tr>
    </w:tbl>
    <w:p>
      <w:pPr>
        <w:pStyle w:val="BodyText"/>
      </w:pPr>
      <w:r>
        <w:rPr>
          <w:bCs/>
          <w:b/>
        </w:rPr>
        <w:t xml:space="preserve">About the plates.</w:t>
      </w:r>
      <w:r>
        <w:t xml:space="preserve"> </w:t>
      </w:r>
      <w:r>
        <w:t xml:space="preserve">They are already drawn in this project’s own tokens — every colour, spacing, radius and structure comes from</w:t>
      </w:r>
      <w:r>
        <w:t xml:space="preserve"> </w:t>
      </w:r>
      <w:r>
        <w:rPr>
          <w:rStyle w:val="VerbatimChar"/>
        </w:rPr>
        <w:t xml:space="preserve">src/index.css</w:t>
      </w:r>
      <w:r>
        <w:t xml:space="preserve">. Match them. The type is substituted because the render container had no Urbanist or Darker Grotesque:</w:t>
      </w:r>
      <w:r>
        <w:t xml:space="preserve"> </w:t>
      </w:r>
      <w:r>
        <w:rPr>
          <w:bCs/>
          <w:b/>
        </w:rPr>
        <w:t xml:space="preserve">ignore the letterforms and keep the project’s faces.</w:t>
      </w:r>
      <w:r>
        <w:t xml:space="preserve"> </w:t>
      </w:r>
      <w:r>
        <w:t xml:space="preserve">Each plate carries its specs as annotations beside the units — read those rather than measuring pixels.</w:t>
      </w:r>
    </w:p>
    <w:p>
      <w:r>
        <w:pict>
          <v:rect style="width:0;height:1.5pt" o:hralign="center" o:hrstd="t" o:hr="t"/>
        </w:pict>
      </w:r>
    </w:p>
    <w:bookmarkEnd w:id="20"/>
    <w:bookmarkStart w:id="21" w:name="where-v3-overrides-v2"/>
    <w:p>
      <w:pPr>
        <w:pStyle w:val="Heading2"/>
      </w:pPr>
      <w:r>
        <w:t xml:space="preserve">2. Where v3 overrides v2</w:t>
      </w:r>
    </w:p>
    <w:p>
      <w:pPr>
        <w:pStyle w:val="FirstParagraph"/>
      </w:pPr>
      <w:r>
        <w:t xml:space="preserve">v2 is still the reference for components, charts and journey copy. But it was written before anyone read the code or looked at shipped products, and these eight points are superseded. Where they conflict,</w:t>
      </w:r>
      <w:r>
        <w:t xml:space="preserve"> </w:t>
      </w:r>
      <w:r>
        <w:rPr>
          <w:bCs/>
          <w:b/>
        </w:rPr>
        <w:t xml:space="preserve">v3 and the plates win.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Topic</w:t>
            </w:r>
          </w:p>
        </w:tc>
        <w:tc>
          <w:tcPr/>
          <w:p>
            <w:pPr>
              <w:pStyle w:val="Compact"/>
              <w:jc w:val="left"/>
            </w:pPr>
            <w:r>
              <w:t xml:space="preserve">v2 said</w:t>
            </w:r>
          </w:p>
        </w:tc>
        <w:tc>
          <w:tcPr/>
          <w:p>
            <w:pPr>
              <w:pStyle w:val="Compact"/>
              <w:jc w:val="left"/>
            </w:pPr>
            <w:r>
              <w:t xml:space="preserve">Correct</w:t>
            </w:r>
          </w:p>
        </w:tc>
      </w:tr>
      <w:tr>
        <w:tc>
          <w:tcPr/>
          <w:p>
            <w:pPr>
              <w:pStyle w:val="Compact"/>
              <w:jc w:val="left"/>
            </w:pPr>
            <w:r>
              <w:t xml:space="preserve">Sticky CTA</w:t>
            </w:r>
          </w:p>
        </w:tc>
        <w:tc>
          <w:tcPr/>
          <w:p>
            <w:pPr>
              <w:pStyle w:val="Compact"/>
              <w:jc w:val="left"/>
            </w:pPr>
            <w:r>
              <w:t xml:space="preserve">“</w:t>
            </w:r>
            <w:r>
              <w:t xml:space="preserve">replaces the composer while the result is on screen</w:t>
            </w:r>
            <w:r>
              <w:t xml:space="preserve">”</w:t>
            </w:r>
          </w:p>
        </w:tc>
        <w:tc>
          <w:tcPr/>
          <w:p>
            <w:pPr>
              <w:pStyle w:val="Compact"/>
              <w:jc w:val="left"/>
            </w:pPr>
            <w:r>
              <w:rPr>
                <w:bCs/>
                <w:b/>
              </w:rPr>
              <w:t xml:space="preserve">Never.</w:t>
            </w:r>
            <w:r>
              <w:t xml:space="preserve"> </w:t>
            </w:r>
            <w:r>
              <w:t xml:space="preserve">The dock is three stacked rows — chips, CTA, composer. This line is the likely cause of the disappearing composer</w:t>
            </w:r>
          </w:p>
        </w:tc>
      </w:tr>
      <w:tr>
        <w:tc>
          <w:tcPr/>
          <w:p>
            <w:pPr>
              <w:pStyle w:val="Compact"/>
              <w:jc w:val="left"/>
            </w:pPr>
            <w:r>
              <w:t xml:space="preserve">Display face</w:t>
            </w:r>
          </w:p>
        </w:tc>
        <w:tc>
          <w:tcPr/>
          <w:p>
            <w:pPr>
              <w:pStyle w:val="Compact"/>
              <w:jc w:val="left"/>
            </w:pPr>
            <w:r>
              <w:t xml:space="preserve">“</w:t>
            </w:r>
            <w:r>
              <w:t xml:space="preserve">serif display face</w:t>
            </w:r>
            <w:r>
              <w:t xml:space="preserve">”</w:t>
            </w:r>
          </w:p>
        </w:tc>
        <w:tc>
          <w:tcPr/>
          <w:p>
            <w:pPr>
              <w:pStyle w:val="Compact"/>
              <w:jc w:val="left"/>
            </w:pPr>
            <w:r>
              <w:rPr>
                <w:bCs/>
                <w:b/>
              </w:rPr>
              <w:t xml:space="preserve">Darker Grotesque Medium</w:t>
            </w:r>
            <w:r>
              <w:t xml:space="preserve"> </w:t>
            </w:r>
            <w:r>
              <w:t xml:space="preserve">— a condensed sans, not a serif</w:t>
            </w:r>
          </w:p>
        </w:tc>
      </w:tr>
      <w:tr>
        <w:tc>
          <w:tcPr/>
          <w:p>
            <w:pPr>
              <w:pStyle w:val="Compact"/>
              <w:jc w:val="left"/>
            </w:pPr>
            <w:r>
              <w:t xml:space="preserve">Bar and rail fills</w:t>
            </w:r>
          </w:p>
        </w:tc>
        <w:tc>
          <w:tcPr/>
          <w:p>
            <w:pPr>
              <w:pStyle w:val="Compact"/>
              <w:jc w:val="left"/>
            </w:pPr>
            <w:r>
              <w:t xml:space="preserve">width tweens</w:t>
            </w:r>
          </w:p>
        </w:tc>
        <w:tc>
          <w:tcPr/>
          <w:p>
            <w:pPr>
              <w:pStyle w:val="Compact"/>
              <w:jc w:val="left"/>
            </w:pPr>
            <w:r>
              <w:rPr>
                <w:rStyle w:val="VerbatimChar"/>
                <w:bCs/>
                <w:b/>
              </w:rPr>
              <w:t xml:space="preserve">transform: scaleX()</w:t>
            </w:r>
            <w:r>
              <w:rPr>
                <w:bCs/>
                <w:b/>
              </w:rPr>
              <w:t xml:space="preserve"> </w:t>
            </w:r>
            <w:r>
              <w:rPr>
                <w:bCs/>
                <w:b/>
              </w:rPr>
              <w:t xml:space="preserve">with</w:t>
            </w:r>
            <w:r>
              <w:rPr>
                <w:bCs/>
                <w:b/>
              </w:rPr>
              <w:t xml:space="preserve"> </w:t>
            </w:r>
            <w:r>
              <w:rPr>
                <w:rStyle w:val="VerbatimChar"/>
                <w:bCs/>
                <w:b/>
              </w:rPr>
              <w:t xml:space="preserve">transform-origin: left</w:t>
            </w:r>
            <w:r>
              <w:rPr>
                <w:bCs/>
                <w:b/>
              </w:rPr>
              <w:t xml:space="preserve">.</w:t>
            </w:r>
            <w:r>
              <w:t xml:space="preserve"> </w:t>
            </w:r>
            <w:r>
              <w:t xml:space="preserve">Never animate</w:t>
            </w:r>
            <w:r>
              <w:t xml:space="preserve"> </w:t>
            </w:r>
            <w:r>
              <w:rPr>
                <w:rStyle w:val="VerbatimChar"/>
              </w:rPr>
              <w:t xml:space="preserve">width</w:t>
            </w:r>
          </w:p>
        </w:tc>
      </w:tr>
      <w:tr>
        <w:tc>
          <w:tcPr/>
          <w:p>
            <w:pPr>
              <w:pStyle w:val="Compact"/>
              <w:jc w:val="left"/>
            </w:pPr>
            <w:r>
              <w:t xml:space="preserve">Bottom sheet</w:t>
            </w:r>
          </w:p>
        </w:tc>
        <w:tc>
          <w:tcPr/>
          <w:p>
            <w:pPr>
              <w:pStyle w:val="Compact"/>
              <w:jc w:val="left"/>
            </w:pPr>
            <w:r>
              <w:t xml:space="preserve">300 ms in and out</w:t>
            </w:r>
          </w:p>
        </w:tc>
        <w:tc>
          <w:tcPr/>
          <w:p>
            <w:pPr>
              <w:pStyle w:val="Compact"/>
              <w:jc w:val="left"/>
            </w:pPr>
            <w:r>
              <w:rPr>
                <w:bCs/>
                <w:b/>
              </w:rPr>
              <w:t xml:space="preserve">280 ms in, 200 ms out.</w:t>
            </w:r>
            <w:r>
              <w:t xml:space="preserve"> </w:t>
            </w:r>
            <w:r>
              <w:t xml:space="preserve">Exits are always faster than entrances</w:t>
            </w:r>
          </w:p>
        </w:tc>
      </w:tr>
      <w:tr>
        <w:tc>
          <w:tcPr/>
          <w:p>
            <w:pPr>
              <w:pStyle w:val="Compact"/>
              <w:jc w:val="left"/>
            </w:pPr>
            <w:r>
              <w:t xml:space="preserve">Motion register</w:t>
            </w:r>
          </w:p>
        </w:tc>
        <w:tc>
          <w:tcPr/>
          <w:p>
            <w:pPr>
              <w:pStyle w:val="Compact"/>
              <w:jc w:val="left"/>
            </w:pPr>
            <w:r>
              <w:t xml:space="preserve">“</w:t>
            </w:r>
            <w:r>
              <w:t xml:space="preserve">calm, premium, nothing bouncy</w:t>
            </w:r>
            <w:r>
              <w:t xml:space="preserve">”</w:t>
            </w:r>
            <w:r>
              <w:t xml:space="preserve"> </w:t>
            </w:r>
            <w:r>
              <w:t xml:space="preserve">on every line</w:t>
            </w:r>
          </w:p>
        </w:tc>
        <w:tc>
          <w:tcPr/>
          <w:p>
            <w:pPr>
              <w:pStyle w:val="Compact"/>
              <w:jc w:val="left"/>
            </w:pPr>
            <w:r>
              <w:t xml:space="preserve">Two budgets: micro-interactions</w:t>
            </w:r>
            <w:r>
              <w:t xml:space="preserve"> </w:t>
            </w:r>
            <w:r>
              <w:rPr>
                <w:bCs/>
                <w:b/>
              </w:rPr>
              <w:t xml:space="preserve">80–400 ms</w:t>
            </w:r>
            <w:r>
              <w:t xml:space="preserve">, data reveals up to</w:t>
            </w:r>
            <w:r>
              <w:t xml:space="preserve"> </w:t>
            </w:r>
            <w:r>
              <w:rPr>
                <w:bCs/>
                <w:b/>
              </w:rPr>
              <w:t xml:space="preserve">600 ms</w:t>
            </w:r>
            <w:r>
              <w:t xml:space="preserve">. Plus the nine delight moments in v3 §4.4. Restraint governs colour and layout, not timing</w:t>
            </w:r>
          </w:p>
        </w:tc>
      </w:tr>
      <w:tr>
        <w:tc>
          <w:tcPr/>
          <w:p>
            <w:pPr>
              <w:pStyle w:val="Compact"/>
              <w:jc w:val="left"/>
            </w:pPr>
            <w:r>
              <w:t xml:space="preserve">Pre-action disclosure</w:t>
            </w:r>
          </w:p>
        </w:tc>
        <w:tc>
          <w:tcPr/>
          <w:p>
            <w:pPr>
              <w:pStyle w:val="Compact"/>
              <w:jc w:val="left"/>
            </w:pPr>
            <w:r>
              <w:t xml:space="preserve">inside the draft, near the send button</w:t>
            </w:r>
          </w:p>
        </w:tc>
        <w:tc>
          <w:tcPr/>
          <w:p>
            <w:pPr>
              <w:pStyle w:val="Compact"/>
              <w:jc w:val="left"/>
            </w:pPr>
            <w:r>
              <w:rPr>
                <w:bCs/>
                <w:b/>
              </w:rPr>
              <w:t xml:space="preserve">Above the numbers</w:t>
            </w:r>
            <w:r>
              <w:t xml:space="preserve">, as the first thing on the confirm step. See Plate 4</w:t>
            </w:r>
          </w:p>
        </w:tc>
      </w:tr>
      <w:tr>
        <w:tc>
          <w:tcPr/>
          <w:p>
            <w:pPr>
              <w:pStyle w:val="Compact"/>
              <w:jc w:val="left"/>
            </w:pPr>
            <w:r>
              <w:t xml:space="preserve">Decisions strip</w:t>
            </w:r>
          </w:p>
        </w:tc>
        <w:tc>
          <w:tcPr/>
          <w:p>
            <w:pPr>
              <w:pStyle w:val="Compact"/>
              <w:jc w:val="left"/>
            </w:pPr>
            <w:r>
              <w:t xml:space="preserve">a read-only summary</w:t>
            </w:r>
          </w:p>
        </w:tc>
        <w:tc>
          <w:tcPr/>
          <w:p>
            <w:pPr>
              <w:pStyle w:val="Compact"/>
              <w:jc w:val="left"/>
            </w:pPr>
            <w:r>
              <w:t xml:space="preserve">A</w:t>
            </w:r>
            <w:r>
              <w:t xml:space="preserve"> </w:t>
            </w:r>
            <w:r>
              <w:rPr>
                <w:bCs/>
                <w:b/>
              </w:rPr>
              <w:t xml:space="preserve">control</w:t>
            </w:r>
            <w:r>
              <w:t xml:space="preserve"> </w:t>
            </w:r>
            <w:r>
              <w:t xml:space="preserve">— each section carries its own</w:t>
            </w:r>
            <w:r>
              <w:t xml:space="preserve"> </w:t>
            </w:r>
            <w:r>
              <w:rPr>
                <w:rStyle w:val="VerbatimChar"/>
              </w:rPr>
              <w:t xml:space="preserve">Edit →</w:t>
            </w:r>
            <w:r>
              <w:t xml:space="preserve"> </w:t>
            </w:r>
            <w:r>
              <w:t xml:space="preserve">that reopens that question in the chat</w:t>
            </w:r>
          </w:p>
        </w:tc>
      </w:tr>
      <w:tr>
        <w:tc>
          <w:tcPr/>
          <w:p>
            <w:pPr>
              <w:pStyle w:val="Compact"/>
              <w:jc w:val="left"/>
            </w:pPr>
            <w:r>
              <w:t xml:space="preserve">Copy permission</w:t>
            </w:r>
          </w:p>
        </w:tc>
        <w:tc>
          <w:tcPr/>
          <w:p>
            <w:pPr>
              <w:pStyle w:val="Compact"/>
              <w:jc w:val="left"/>
            </w:pPr>
            <w:r>
              <w:t xml:space="preserve">“</w:t>
            </w:r>
            <w:r>
              <w:t xml:space="preserve">ask before adding any copy</w:t>
            </w:r>
            <w:r>
              <w:t xml:space="preserve">”</w:t>
            </w:r>
          </w:p>
        </w:tc>
        <w:tc>
          <w:tcPr/>
          <w:p>
            <w:pPr>
              <w:pStyle w:val="Compact"/>
              <w:jc w:val="left"/>
            </w:pPr>
            <w:r>
              <w:t xml:space="preserve">Write it, mark it</w:t>
            </w:r>
            <w:r>
              <w:t xml:space="preserve"> </w:t>
            </w:r>
            <w:r>
              <w:rPr>
                <w:rStyle w:val="VerbatimChar"/>
              </w:rPr>
              <w:t xml:space="preserve">[draft]</w:t>
            </w:r>
            <w:r>
              <w:t xml:space="preserve"> </w:t>
            </w:r>
            <w:r>
              <w:t xml:space="preserve">in a comment, keep moving. Only ask before inventing a</w:t>
            </w:r>
            <w:r>
              <w:t xml:space="preserve"> </w:t>
            </w:r>
            <w:r>
              <w:rPr>
                <w:bCs/>
                <w:b/>
              </w:rPr>
              <w:t xml:space="preserve">new screen, a performance figure, a fee, or a regulatory statement</w:t>
            </w:r>
          </w:p>
        </w:tc>
      </w:tr>
    </w:tbl>
    <w:p>
      <w:r>
        <w:pict>
          <v:rect style="width:0;height:1.5pt" o:hralign="center" o:hrstd="t" o:hr="t"/>
        </w:pict>
      </w:r>
    </w:p>
    <w:bookmarkEnd w:id="21"/>
    <w:bookmarkStart w:id="22" w:name="hard-rules-these-hold-in-every-step"/>
    <w:p>
      <w:pPr>
        <w:pStyle w:val="Heading2"/>
      </w:pPr>
      <w:r>
        <w:t xml:space="preserve">3. Hard rules — these hold in every step</w:t>
      </w:r>
    </w:p>
    <w:p>
      <w:pPr>
        <w:numPr>
          <w:ilvl w:val="0"/>
          <w:numId w:val="1001"/>
        </w:numPr>
        <w:pStyle w:val="Compact"/>
      </w:pPr>
      <w:r>
        <w:rPr>
          <w:bCs/>
          <w:b/>
        </w:rPr>
        <w:t xml:space="preserve">No new design tokens.</w:t>
      </w:r>
      <w:r>
        <w:t xml:space="preserve"> </w:t>
      </w:r>
      <w:r>
        <w:t xml:space="preserve">No new colour, font, radius or shadow. The two</w:t>
      </w:r>
      <w:r>
        <w:t xml:space="preserve"> </w:t>
      </w:r>
      <w:r>
        <w:rPr>
          <w:rStyle w:val="VerbatimChar"/>
        </w:rPr>
        <w:t xml:space="preserve">data/</w:t>
      </w:r>
      <w:r>
        <w:t xml:space="preserve"> </w:t>
      </w:r>
      <w:r>
        <w:t xml:space="preserve">tokens in</w:t>
      </w:r>
      <w:r>
        <w:t xml:space="preserve"> </w:t>
      </w:r>
      <w:r>
        <w:rPr>
          <w:rStyle w:val="VerbatimChar"/>
        </w:rPr>
        <w:t xml:space="preserve">index.css</w:t>
      </w:r>
      <w:r>
        <w:t xml:space="preserve"> </w:t>
      </w:r>
      <w:r>
        <w:t xml:space="preserve">are the only approved additions and are already in place.</w:t>
      </w:r>
    </w:p>
    <w:p>
      <w:pPr>
        <w:numPr>
          <w:ilvl w:val="0"/>
          <w:numId w:val="1001"/>
        </w:numPr>
        <w:pStyle w:val="Compact"/>
      </w:pPr>
      <w:r>
        <w:rPr>
          <w:bCs/>
          <w:b/>
        </w:rPr>
        <w:t xml:space="preserve">Colour never encodes identity.</w:t>
      </w:r>
      <w:r>
        <w:t xml:space="preserve"> </w:t>
      </w:r>
      <w:r>
        <w:t xml:space="preserve">One bronze hue for magnitude, the three existing status colours for state, warm grey for de-emphasis, and</w:t>
      </w:r>
      <w:r>
        <w:t xml:space="preserve"> </w:t>
      </w:r>
      <w:r>
        <w:rPr>
          <w:bCs/>
          <w:b/>
        </w:rPr>
        <w:t xml:space="preserve">direct labels for identity</w:t>
      </w:r>
      <w:r>
        <w:t xml:space="preserve">. No pie, no donut, no multi-hue stacked bar, no dual-axis chart. (v2 §4.1 has the validation behind this; Copilot Money ships the same approach.)</w:t>
      </w:r>
    </w:p>
    <w:p>
      <w:pPr>
        <w:numPr>
          <w:ilvl w:val="0"/>
          <w:numId w:val="1001"/>
        </w:numPr>
        <w:pStyle w:val="Compact"/>
      </w:pPr>
      <w:r>
        <w:rPr>
          <w:bCs/>
          <w:b/>
        </w:rPr>
        <w:t xml:space="preserve">The composer is present on every screen</w:t>
      </w:r>
      <w:r>
        <w:t xml:space="preserve">, in all nine contexts in v3 §2.1. One shell-level instance, not re-declared per screen.</w:t>
      </w:r>
    </w:p>
    <w:p>
      <w:pPr>
        <w:numPr>
          <w:ilvl w:val="0"/>
          <w:numId w:val="1001"/>
        </w:numPr>
        <w:pStyle w:val="Compact"/>
      </w:pPr>
      <w:r>
        <w:rPr>
          <w:bCs/>
          <w:b/>
        </w:rPr>
        <w:t xml:space="preserve">Never fabricate.</w:t>
      </w:r>
      <w:r>
        <w:t xml:space="preserve"> </w:t>
      </w:r>
      <w:r>
        <w:t xml:space="preserve">No invented fund, figure, client situation or regulatory wording. If a number is not in the data, say it is not available.</w:t>
      </w:r>
    </w:p>
    <w:p>
      <w:pPr>
        <w:numPr>
          <w:ilvl w:val="0"/>
          <w:numId w:val="1001"/>
        </w:numPr>
        <w:pStyle w:val="Compact"/>
      </w:pPr>
      <w:r>
        <w:rPr>
          <w:bCs/>
          <w:b/>
        </w:rPr>
        <w:t xml:space="preserve">Animate</w:t>
      </w:r>
      <w:r>
        <w:rPr>
          <w:bCs/>
          <w:b/>
        </w:rPr>
        <w:t xml:space="preserve"> </w:t>
      </w:r>
      <w:r>
        <w:rPr>
          <w:rStyle w:val="VerbatimChar"/>
          <w:bCs/>
          <w:b/>
        </w:rPr>
        <w:t xml:space="preserve">transform</w:t>
      </w:r>
      <w:r>
        <w:rPr>
          <w:bCs/>
          <w:b/>
        </w:rPr>
        <w:t xml:space="preserve"> </w:t>
      </w:r>
      <w:r>
        <w:rPr>
          <w:bCs/>
          <w:b/>
        </w:rPr>
        <w:t xml:space="preserve">and</w:t>
      </w:r>
      <w:r>
        <w:rPr>
          <w:bCs/>
          <w:b/>
        </w:rPr>
        <w:t xml:space="preserve"> </w:t>
      </w:r>
      <w:r>
        <w:rPr>
          <w:rStyle w:val="VerbatimChar"/>
          <w:bCs/>
          <w:b/>
        </w:rPr>
        <w:t xml:space="preserve">opacity</w:t>
      </w:r>
      <w:r>
        <w:rPr>
          <w:bCs/>
          <w:b/>
        </w:rPr>
        <w:t xml:space="preserve"> </w:t>
      </w:r>
      <w:r>
        <w:rPr>
          <w:bCs/>
          <w:b/>
        </w:rPr>
        <w:t xml:space="preserve">only.</w:t>
      </w:r>
      <w:r>
        <w:t xml:space="preserve"> </w:t>
      </w:r>
      <w:r>
        <w:t xml:space="preserve">Never</w:t>
      </w:r>
      <w:r>
        <w:t xml:space="preserve"> </w:t>
      </w:r>
      <w:r>
        <w:rPr>
          <w:rStyle w:val="VerbatimChar"/>
        </w:rPr>
        <w:t xml:space="preserve">width</w:t>
      </w:r>
      <w:r>
        <w:t xml:space="preserve">,</w:t>
      </w:r>
      <w:r>
        <w:t xml:space="preserve"> </w:t>
      </w:r>
      <w:r>
        <w:rPr>
          <w:rStyle w:val="VerbatimChar"/>
        </w:rPr>
        <w:t xml:space="preserve">height</w:t>
      </w:r>
      <w:r>
        <w:t xml:space="preserve">,</w:t>
      </w:r>
      <w:r>
        <w:t xml:space="preserve"> </w:t>
      </w:r>
      <w:r>
        <w:rPr>
          <w:rStyle w:val="VerbatimChar"/>
        </w:rPr>
        <w:t xml:space="preserve">top</w:t>
      </w:r>
      <w:r>
        <w:t xml:space="preserve">,</w:t>
      </w:r>
      <w:r>
        <w:t xml:space="preserve"> </w:t>
      </w:r>
      <w:r>
        <w:rPr>
          <w:rStyle w:val="VerbatimChar"/>
        </w:rPr>
        <w:t xml:space="preserve">left</w:t>
      </w:r>
      <w:r>
        <w:t xml:space="preserve">,</w:t>
      </w:r>
      <w:r>
        <w:t xml:space="preserve"> </w:t>
      </w:r>
      <w:r>
        <w:rPr>
          <w:rStyle w:val="VerbatimChar"/>
        </w:rPr>
        <w:t xml:space="preserve">margin</w:t>
      </w:r>
      <w:r>
        <w:t xml:space="preserve">,</w:t>
      </w:r>
      <w:r>
        <w:t xml:space="preserve"> </w:t>
      </w:r>
      <w:r>
        <w:rPr>
          <w:rStyle w:val="VerbatimChar"/>
        </w:rPr>
        <w:t xml:space="preserve">padding</w:t>
      </w:r>
      <w:r>
        <w:t xml:space="preserve">,</w:t>
      </w:r>
      <w:r>
        <w:t xml:space="preserve"> </w:t>
      </w:r>
      <w:r>
        <w:rPr>
          <w:rStyle w:val="VerbatimChar"/>
        </w:rPr>
        <w:t xml:space="preserve">font-size</w:t>
      </w:r>
      <w:r>
        <w:t xml:space="preserve"> </w:t>
      </w:r>
      <w:r>
        <w:t xml:space="preserve">or</w:t>
      </w:r>
      <w:r>
        <w:t xml:space="preserve"> </w:t>
      </w:r>
      <w:r>
        <w:rPr>
          <w:rStyle w:val="VerbatimChar"/>
        </w:rPr>
        <w:t xml:space="preserve">box-shadow</w:t>
      </w:r>
      <w:r>
        <w:t xml:space="preserve">.</w:t>
      </w:r>
    </w:p>
    <w:p>
      <w:pPr>
        <w:numPr>
          <w:ilvl w:val="0"/>
          <w:numId w:val="1001"/>
        </w:numPr>
        <w:pStyle w:val="Compact"/>
      </w:pPr>
      <w:r>
        <w:rPr>
          <w:bCs/>
          <w:b/>
        </w:rPr>
        <w:t xml:space="preserve">One client per journey.</w:t>
      </w:r>
      <w:r>
        <w:t xml:space="preserve"> </w:t>
      </w:r>
      <w:r>
        <w:t xml:space="preserve">Meera = risk profiling. Amit Aggrawal = proposal. Sharma = drift. Sunita = review. Never blended.</w:t>
      </w:r>
    </w:p>
    <w:p>
      <w:pPr>
        <w:numPr>
          <w:ilvl w:val="0"/>
          <w:numId w:val="1001"/>
        </w:numPr>
        <w:pStyle w:val="Compact"/>
      </w:pPr>
      <w:r>
        <w:rPr>
          <w:bCs/>
          <w:b/>
        </w:rPr>
        <w:t xml:space="preserve">Regulatory strings are placeholders.</w:t>
      </w:r>
      <w:r>
        <w:t xml:space="preserve"> </w:t>
      </w:r>
      <w:r>
        <w:t xml:space="preserve">Mark them</w:t>
      </w:r>
      <w:r>
        <w:t xml:space="preserve"> </w:t>
      </w:r>
      <w:r>
        <w:rPr>
          <w:rStyle w:val="VerbatimChar"/>
        </w:rPr>
        <w:t xml:space="preserve">[PLACEHOLDER — compliance to supply]</w:t>
      </w:r>
      <w:r>
        <w:t xml:space="preserve"> </w:t>
      </w:r>
      <w:r>
        <w:t xml:space="preserve">and render them visually locked.</w:t>
      </w:r>
    </w:p>
    <w:p>
      <w:r>
        <w:pict>
          <v:rect style="width:0;height:1.5pt" o:hralign="center" o:hrstd="t" o:hr="t"/>
        </w:pict>
      </w:r>
    </w:p>
    <w:bookmarkEnd w:id="22"/>
    <w:bookmarkStart w:id="23" w:name="build-order-with-a-definition-of-done"/>
    <w:p>
      <w:pPr>
        <w:pStyle w:val="Heading2"/>
      </w:pPr>
      <w:r>
        <w:t xml:space="preserve">4. Build order, with a definition of done</w:t>
      </w:r>
    </w:p>
    <w:p>
      <w:pPr>
        <w:pStyle w:val="FirstParagraph"/>
      </w:pPr>
      <w:r>
        <w:t xml:space="preserve">Work these in order.</w:t>
      </w:r>
      <w:r>
        <w:t xml:space="preserve"> </w:t>
      </w:r>
      <w:r>
        <w:rPr>
          <w:bCs/>
          <w:b/>
        </w:rPr>
        <w:t xml:space="preserve">Stop after Step 7</w:t>
      </w:r>
      <w:r>
        <w:t xml:space="preserve"> </w:t>
      </w:r>
      <w:r>
        <w:t xml:space="preserve">and report. Do not start Journeys A, C or D, the remaining charts, or a QC pass in this session.</w:t>
      </w:r>
    </w:p>
    <w:p>
      <w:pPr>
        <w:pStyle w:val="BodyText"/>
      </w:pPr>
      <w:r>
        <w:rPr>
          <w:bCs/>
          <w:b/>
        </w:rPr>
        <w:t xml:space="preserve">Step 1 — Wire the landing rows.</w:t>
      </w:r>
      <w:r>
        <w:t xml:space="preserve"> </w:t>
      </w:r>
      <w:r>
        <w:t xml:space="preserve">(v3 §8.1)</w:t>
      </w:r>
      <w:r>
        <w:t xml:space="preserve"> </w:t>
      </w:r>
      <w:r>
        <w:rPr>
          <w:rStyle w:val="VerbatimChar"/>
        </w:rPr>
        <w:t xml:space="preserve">ENTRIES</w:t>
      </w:r>
      <w:r>
        <w:t xml:space="preserve"> </w:t>
      </w:r>
      <w:r>
        <w:t xml:space="preserve">keys in</w:t>
      </w:r>
      <w:r>
        <w:t xml:space="preserve"> </w:t>
      </w:r>
      <w:r>
        <w:rPr>
          <w:rStyle w:val="VerbatimChar"/>
        </w:rPr>
        <w:t xml:space="preserve">journeys.tsx</w:t>
      </w:r>
      <w:r>
        <w:t xml:space="preserve"> </w:t>
      </w:r>
      <w:r>
        <w:t xml:space="preserve">are still the old Meera strings while</w:t>
      </w:r>
      <w:r>
        <w:t xml:space="preserve"> </w:t>
      </w:r>
      <w:r>
        <w:rPr>
          <w:rStyle w:val="VerbatimChar"/>
        </w:rPr>
        <w:t xml:space="preserve">Home.tsx</w:t>
      </w:r>
      <w:r>
        <w:t xml:space="preserve"> </w:t>
      </w:r>
      <w:r>
        <w:t xml:space="preserve">shows the restored three. Nothing matches, so all three rows fall through to a hardcoded answer about a different client.</w:t>
      </w:r>
      <w:r>
        <w:t xml:space="preserve"> </w:t>
      </w:r>
      <w:r>
        <w:rPr>
          <w:iCs/>
          <w:i/>
        </w:rPr>
        <w:t xml:space="preserve">Done when:</w:t>
      </w:r>
      <w:r>
        <w:t xml:space="preserve"> </w:t>
      </w:r>
      <w:r>
        <w:t xml:space="preserve">each of the three</w:t>
      </w:r>
      <w:r>
        <w:t xml:space="preserve"> </w:t>
      </w:r>
      <w:r>
        <w:rPr>
          <w:rStyle w:val="VerbatimChar"/>
        </w:rPr>
        <w:t xml:space="preserve">SUGGESTIONS</w:t>
      </w:r>
      <w:r>
        <w:t xml:space="preserve"> </w:t>
      </w:r>
      <w:r>
        <w:t xml:space="preserve">strings is an</w:t>
      </w:r>
      <w:r>
        <w:t xml:space="preserve"> </w:t>
      </w:r>
      <w:r>
        <w:rPr>
          <w:rStyle w:val="VerbatimChar"/>
        </w:rPr>
        <w:t xml:space="preserve">ENTRIES</w:t>
      </w:r>
      <w:r>
        <w:t xml:space="preserve"> </w:t>
      </w:r>
      <w:r>
        <w:t xml:space="preserve">key; Journeys A and C route to an honest</w:t>
      </w:r>
      <w:r>
        <w:t xml:space="preserve"> </w:t>
      </w:r>
      <w:r>
        <w:t xml:space="preserve">“</w:t>
      </w:r>
      <w:r>
        <w:t xml:space="preserve">not built in this version</w:t>
      </w:r>
      <w:r>
        <w:t xml:space="preserve">”</w:t>
      </w:r>
      <w:r>
        <w:t xml:space="preserve"> </w:t>
      </w:r>
      <w:r>
        <w:t xml:space="preserve">step (bucket 5) rather than another client’s answer; the</w:t>
      </w:r>
      <w:r>
        <w:t xml:space="preserve"> </w:t>
      </w:r>
      <w:r>
        <w:rPr>
          <w:rStyle w:val="VerbatimChar"/>
        </w:rPr>
        <w:t xml:space="preserve">?? ENTRIES["Start Meera's risk profile"]</w:t>
      </w:r>
      <w:r>
        <w:t xml:space="preserve"> </w:t>
      </w:r>
      <w:r>
        <w:t xml:space="preserve">fallback in</w:t>
      </w:r>
      <w:r>
        <w:t xml:space="preserve"> </w:t>
      </w:r>
      <w:r>
        <w:rPr>
          <w:rStyle w:val="VerbatimChar"/>
        </w:rPr>
        <w:t xml:space="preserve">Journey.tsx</w:t>
      </w:r>
      <w:r>
        <w:t xml:space="preserve"> </w:t>
      </w:r>
      <w:r>
        <w:t xml:space="preserve">is replaced by an explicit unknown-entry state; the stale</w:t>
      </w:r>
      <w:r>
        <w:t xml:space="preserve"> </w:t>
      </w:r>
      <w:r>
        <w:rPr>
          <w:rStyle w:val="VerbatimChar"/>
        </w:rPr>
        <w:t xml:space="preserve">useState</w:t>
      </w:r>
      <w:r>
        <w:t xml:space="preserve"> </w:t>
      </w:r>
      <w:r>
        <w:t xml:space="preserve">seeds in</w:t>
      </w:r>
      <w:r>
        <w:t xml:space="preserve"> </w:t>
      </w:r>
      <w:r>
        <w:rPr>
          <w:rStyle w:val="VerbatimChar"/>
        </w:rPr>
        <w:t xml:space="preserve">App.tsx</w:t>
      </w:r>
      <w:r>
        <w:t xml:space="preserve"> </w:t>
      </w:r>
      <w:r>
        <w:t xml:space="preserve">are gone.</w:t>
      </w:r>
    </w:p>
    <w:p>
      <w:pPr>
        <w:pStyle w:val="BodyText"/>
      </w:pPr>
      <w:r>
        <w:rPr>
          <w:bCs/>
          <w:b/>
        </w:rPr>
        <w:t xml:space="preserve">Step 2 — The six-bucket free-text router.</w:t>
      </w:r>
      <w:r>
        <w:t xml:space="preserve"> </w:t>
      </w:r>
      <w:r>
        <w:t xml:space="preserve">(v3 Part 3, Plate 2)</w:t>
      </w:r>
      <w:r>
        <w:t xml:space="preserve"> </w:t>
      </w:r>
      <w:r>
        <w:rPr>
          <w:iCs/>
          <w:i/>
        </w:rPr>
        <w:t xml:space="preserve">Done when:</w:t>
      </w:r>
      <w:r>
        <w:t xml:space="preserve"> </w:t>
      </w:r>
      <w:r>
        <w:t xml:space="preserve">both hardcoded replies in</w:t>
      </w:r>
      <w:r>
        <w:t xml:space="preserve"> </w:t>
      </w:r>
      <w:r>
        <w:rPr>
          <w:rStyle w:val="VerbatimChar"/>
        </w:rPr>
        <w:t xml:space="preserve">Chat.tsx</w:t>
      </w:r>
      <w:r>
        <w:t xml:space="preserve"> </w:t>
      </w:r>
      <w:r>
        <w:t xml:space="preserve">are deleted;</w:t>
      </w:r>
      <w:r>
        <w:t xml:space="preserve"> </w:t>
      </w:r>
      <w:r>
        <w:rPr>
          <w:rStyle w:val="VerbatimChar"/>
        </w:rPr>
        <w:t xml:space="preserve">advance()</w:t>
      </w:r>
      <w:r>
        <w:t xml:space="preserve"> </w:t>
      </w:r>
      <w:r>
        <w:t xml:space="preserve">in</w:t>
      </w:r>
      <w:r>
        <w:t xml:space="preserve"> </w:t>
      </w:r>
      <w:r>
        <w:rPr>
          <w:rStyle w:val="VerbatimChar"/>
        </w:rPr>
        <w:t xml:space="preserve">Journey.tsx</w:t>
      </w:r>
      <w:r>
        <w:t xml:space="preserve"> </w:t>
      </w:r>
      <w:r>
        <w:t xml:space="preserve">is reachable only from bucket 1 or a chip tap; all six buckets are implemented with the</w:t>
      </w:r>
      <w:r>
        <w:t xml:space="preserve"> </w:t>
      </w:r>
      <w:r>
        <w:rPr>
          <w:rStyle w:val="VerbatimChar"/>
        </w:rPr>
        <w:t xml:space="preserve">A6</w:t>
      </w:r>
      <w:r>
        <w:t xml:space="preserve"> </w:t>
      </w:r>
      <w:r>
        <w:t xml:space="preserve">parse note and</w:t>
      </w:r>
      <w:r>
        <w:t xml:space="preserve"> </w:t>
      </w:r>
      <w:r>
        <w:rPr>
          <w:rStyle w:val="VerbatimChar"/>
        </w:rPr>
        <w:t xml:space="preserve">A7</w:t>
      </w:r>
      <w:r>
        <w:t xml:space="preserve"> </w:t>
      </w:r>
      <w:r>
        <w:t xml:space="preserve">detour banner; a rejected input keeps the user’s text in the composer; typing something unrecognised produces the bucket-4 disclosure and never an answer.</w:t>
      </w:r>
    </w:p>
    <w:p>
      <w:pPr>
        <w:pStyle w:val="BodyText"/>
      </w:pPr>
      <w:r>
        <w:rPr>
          <w:bCs/>
          <w:b/>
        </w:rPr>
        <w:t xml:space="preserve">Step 3 — The composer law.</w:t>
      </w:r>
      <w:r>
        <w:t xml:space="preserve"> </w:t>
      </w:r>
      <w:r>
        <w:t xml:space="preserve">(v3 Part 2, Plate 3)</w:t>
      </w:r>
      <w:r>
        <w:t xml:space="preserve"> </w:t>
      </w:r>
      <w:r>
        <w:rPr>
          <w:iCs/>
          <w:i/>
        </w:rPr>
        <w:t xml:space="preserve">Done when:</w:t>
      </w:r>
      <w:r>
        <w:t xml:space="preserve"> </w:t>
      </w:r>
      <w:r>
        <w:t xml:space="preserve">the composer is one shell-level instance; present in all nine contexts including</w:t>
      </w:r>
      <w:r>
        <w:t xml:space="preserve"> </w:t>
      </w:r>
      <w:r>
        <w:rPr>
          <w:rStyle w:val="VerbatimChar"/>
        </w:rPr>
        <w:t xml:space="preserve">Proposal</w:t>
      </w:r>
      <w:r>
        <w:t xml:space="preserve">,</w:t>
      </w:r>
      <w:r>
        <w:t xml:space="preserve"> </w:t>
      </w:r>
      <w:r>
        <w:rPr>
          <w:rStyle w:val="VerbatimChar"/>
        </w:rPr>
        <w:t xml:space="preserve">FundExplorer</w:t>
      </w:r>
      <w:r>
        <w:t xml:space="preserve"> </w:t>
      </w:r>
      <w:r>
        <w:t xml:space="preserve">and</w:t>
      </w:r>
      <w:r>
        <w:t xml:space="preserve"> </w:t>
      </w:r>
      <w:r>
        <w:rPr>
          <w:rStyle w:val="VerbatimChar"/>
        </w:rPr>
        <w:t xml:space="preserve">Drawer</w:t>
      </w:r>
      <w:r>
        <w:t xml:space="preserve">; placeholders come from a single context-keyed map; the result dock is three stacked rows with the CTA above the composer;</w:t>
      </w:r>
      <w:r>
        <w:t xml:space="preserve"> </w:t>
      </w:r>
      <w:r>
        <w:rPr>
          <w:rStyle w:val="VerbatimChar"/>
        </w:rPr>
        <w:t xml:space="preserve">Portfolio</w:t>
      </w:r>
      <w:r>
        <w:t xml:space="preserve">’s composer answers instead of clearing; the bronze focus ring is in place at 150 ms.</w:t>
      </w:r>
    </w:p>
    <w:p>
      <w:pPr>
        <w:pStyle w:val="BodyText"/>
      </w:pPr>
      <w:r>
        <w:rPr>
          <w:bCs/>
          <w:b/>
        </w:rPr>
        <w:t xml:space="preserve">Step 4 — Auto-scroll.</w:t>
      </w:r>
      <w:r>
        <w:t xml:space="preserve"> </w:t>
      </w:r>
      <w:r>
        <w:t xml:space="preserve">(v3 §1.2 D1, Plate 3)</w:t>
      </w:r>
      <w:r>
        <w:t xml:space="preserve"> </w:t>
      </w:r>
      <w:r>
        <w:rPr>
          <w:iCs/>
          <w:i/>
        </w:rPr>
        <w:t xml:space="preserve">Done when:</w:t>
      </w:r>
      <w:r>
        <w:t xml:space="preserve"> </w:t>
      </w:r>
      <w:r>
        <w:t xml:space="preserve">the</w:t>
      </w:r>
      <w:r>
        <w:t xml:space="preserve"> </w:t>
      </w:r>
      <w:r>
        <w:rPr>
          <w:rStyle w:val="VerbatimChar"/>
        </w:rPr>
        <w:t xml:space="preserve">scrollTo</w:t>
      </w:r>
      <w:r>
        <w:t xml:space="preserve"> </w:t>
      </w:r>
      <w:r>
        <w:t xml:space="preserve">in</w:t>
      </w:r>
      <w:r>
        <w:t xml:space="preserve"> </w:t>
      </w:r>
      <w:r>
        <w:rPr>
          <w:rStyle w:val="VerbatimChar"/>
        </w:rPr>
        <w:t xml:space="preserve">Chat.tsx</w:t>
      </w:r>
      <w:r>
        <w:t xml:space="preserve"> </w:t>
      </w:r>
      <w:r>
        <w:t xml:space="preserve">and</w:t>
      </w:r>
      <w:r>
        <w:t xml:space="preserve"> </w:t>
      </w:r>
      <w:r>
        <w:rPr>
          <w:rStyle w:val="VerbatimChar"/>
        </w:rPr>
        <w:t xml:space="preserve">Journey.tsx</w:t>
      </w:r>
      <w:r>
        <w:t xml:space="preserve"> </w:t>
      </w:r>
      <w:r>
        <w:t xml:space="preserve">is gated on an is-near-bottom check (~80 px); scrolling up does not get yanked back; a floating scroll-to-bottom button appears when scrolled up. Leave the</w:t>
      </w:r>
      <w:r>
        <w:t xml:space="preserve"> </w:t>
      </w:r>
      <w:r>
        <w:rPr>
          <w:rStyle w:val="VerbatimChar"/>
        </w:rPr>
        <w:t xml:space="preserve">mt-auto</w:t>
      </w:r>
      <w:r>
        <w:t xml:space="preserve"> </w:t>
      </w:r>
      <w:r>
        <w:t xml:space="preserve">anchoring alone — it is correct.</w:t>
      </w:r>
    </w:p>
    <w:p>
      <w:pPr>
        <w:pStyle w:val="BodyText"/>
      </w:pPr>
      <w:r>
        <w:rPr>
          <w:bCs/>
          <w:b/>
        </w:rPr>
        <w:t xml:space="preserve">Step 5 — The real progress trace.</w:t>
      </w:r>
      <w:r>
        <w:t xml:space="preserve"> </w:t>
      </w:r>
      <w:r>
        <w:t xml:space="preserve">(v3 §4.4 item 2, Plate 1)</w:t>
      </w:r>
      <w:r>
        <w:t xml:space="preserve"> </w:t>
      </w:r>
      <w:r>
        <w:rPr>
          <w:iCs/>
          <w:i/>
        </w:rPr>
        <w:t xml:space="preserve">Done when:</w:t>
      </w:r>
      <w:r>
        <w:t xml:space="preserve"> </w:t>
      </w:r>
      <w:r>
        <w:t xml:space="preserve">the shimmer is replaced by a step list with a duration in the header, filled-check for done, ring for active, hairline circle for pending, joined by a 1 px rail; labels name real work, never</w:t>
      </w:r>
      <w:r>
        <w:t xml:space="preserve"> </w:t>
      </w:r>
      <w:r>
        <w:rPr>
          <w:rStyle w:val="VerbatimChar"/>
        </w:rPr>
        <w:t xml:space="preserve">Processing</w:t>
      </w:r>
      <w:r>
        <w:t xml:space="preserve">; it collapses to</w:t>
      </w:r>
      <w:r>
        <w:t xml:space="preserve"> </w:t>
      </w:r>
      <w:r>
        <w:rPr>
          <w:rStyle w:val="VerbatimChar"/>
        </w:rPr>
        <w:t xml:space="preserve">Thought for 4s ›</w:t>
      </w:r>
      <w:r>
        <w:t xml:space="preserve"> </w:t>
      </w:r>
      <w:r>
        <w:t xml:space="preserve">and stays expandable; expanded reasoning sits behind a left hairline rule; a stop button occupies the send slot while running; artifact cards appear immediately and fill in skeleton-first.</w:t>
      </w:r>
    </w:p>
    <w:p>
      <w:pPr>
        <w:pStyle w:val="BodyText"/>
      </w:pPr>
      <w:r>
        <w:rPr>
          <w:bCs/>
          <w:b/>
        </w:rPr>
        <w:t xml:space="preserve">Step 6 — Artifact canvases instead of routes.</w:t>
      </w:r>
      <w:r>
        <w:t xml:space="preserve"> </w:t>
      </w:r>
      <w:r>
        <w:t xml:space="preserve">(v3 §8.5)</w:t>
      </w:r>
      <w:r>
        <w:t xml:space="preserve"> </w:t>
      </w:r>
      <w:r>
        <w:rPr>
          <w:iCs/>
          <w:i/>
        </w:rPr>
        <w:t xml:space="preserve">Done when:</w:t>
      </w:r>
      <w:r>
        <w:t xml:space="preserve"> </w:t>
      </w:r>
      <w:r>
        <w:rPr>
          <w:rStyle w:val="VerbatimChar"/>
        </w:rPr>
        <w:t xml:space="preserve">portfolio</w:t>
      </w:r>
      <w:r>
        <w:t xml:space="preserve">,</w:t>
      </w:r>
      <w:r>
        <w:t xml:space="preserve"> </w:t>
      </w:r>
      <w:r>
        <w:rPr>
          <w:rStyle w:val="VerbatimChar"/>
        </w:rPr>
        <w:t xml:space="preserve">proposal</w:t>
      </w:r>
      <w:r>
        <w:t xml:space="preserve"> </w:t>
      </w:r>
      <w:r>
        <w:t xml:space="preserve">and</w:t>
      </w:r>
      <w:r>
        <w:t xml:space="preserve"> </w:t>
      </w:r>
      <w:r>
        <w:rPr>
          <w:rStyle w:val="VerbatimChar"/>
        </w:rPr>
        <w:t xml:space="preserve">funds</w:t>
      </w:r>
      <w:r>
        <w:t xml:space="preserve"> </w:t>
      </w:r>
      <w:r>
        <w:t xml:space="preserve">are no longer members of the</w:t>
      </w:r>
      <w:r>
        <w:t xml:space="preserve"> </w:t>
      </w:r>
      <w:r>
        <w:rPr>
          <w:rStyle w:val="VerbatimChar"/>
        </w:rPr>
        <w:t xml:space="preserve">Screen</w:t>
      </w:r>
      <w:r>
        <w:t xml:space="preserve"> </w:t>
      </w:r>
      <w:r>
        <w:t xml:space="preserve">union; they render as</w:t>
      </w:r>
      <w:r>
        <w:t xml:space="preserve"> </w:t>
      </w:r>
      <w:r>
        <w:rPr>
          <w:rStyle w:val="VerbatimChar"/>
        </w:rPr>
        <w:t xml:space="preserve">A2</w:t>
      </w:r>
      <w:r>
        <w:t xml:space="preserve"> </w:t>
      </w:r>
      <w:r>
        <w:t xml:space="preserve">canvases in a layer above the thread, opened from an</w:t>
      </w:r>
      <w:r>
        <w:t xml:space="preserve"> </w:t>
      </w:r>
      <w:r>
        <w:rPr>
          <w:rStyle w:val="VerbatimChar"/>
        </w:rPr>
        <w:t xml:space="preserve">A1</w:t>
      </w:r>
      <w:r>
        <w:t xml:space="preserve"> </w:t>
      </w:r>
      <w:r>
        <w:t xml:space="preserve">card, each with the back pill,</w:t>
      </w:r>
      <w:r>
        <w:t xml:space="preserve"> </w:t>
      </w:r>
      <w:r>
        <w:rPr>
          <w:rStyle w:val="VerbatimChar"/>
        </w:rPr>
        <w:t xml:space="preserve">⋯</w:t>
      </w:r>
      <w:r>
        <w:t xml:space="preserve"> </w:t>
      </w:r>
      <w:r>
        <w:t xml:space="preserve">menu, contextual chips and docked composer; the shell owns the status bar,</w:t>
      </w:r>
      <w:r>
        <w:t xml:space="preserve"> </w:t>
      </w:r>
      <w:r>
        <w:rPr>
          <w:rStyle w:val="VerbatimChar"/>
        </w:rPr>
        <w:t xml:space="preserve">TopBar</w:t>
      </w:r>
      <w:r>
        <w:t xml:space="preserve">, thread and dock;</w:t>
      </w:r>
      <w:r>
        <w:t xml:space="preserve"> </w:t>
      </w:r>
      <w:r>
        <w:rPr>
          <w:rStyle w:val="VerbatimChar"/>
        </w:rPr>
        <w:t xml:space="preserve">Drawer</w:t>
      </w:r>
      <w:r>
        <w:t xml:space="preserve"> </w:t>
      </w:r>
      <w:r>
        <w:t xml:space="preserve">remains an overlay and has a composer.</w:t>
      </w:r>
    </w:p>
    <w:p>
      <w:pPr>
        <w:pStyle w:val="BodyText"/>
      </w:pPr>
      <w:r>
        <w:rPr>
          <w:bCs/>
          <w:b/>
        </w:rPr>
        <w:t xml:space="preserve">Step 7 — Journey B (Sharma drift) end to end.</w:t>
      </w:r>
      <w:r>
        <w:t xml:space="preserve"> </w:t>
      </w:r>
      <w:r>
        <w:t xml:space="preserve">(v2 §3.2 for copy, v3 §4.2 for motion, Plate 4 for the confirm)</w:t>
      </w:r>
      <w:r>
        <w:t xml:space="preserve"> </w:t>
      </w:r>
      <w:r>
        <w:rPr>
          <w:iCs/>
          <w:i/>
        </w:rPr>
        <w:t xml:space="preserve">Done when:</w:t>
      </w:r>
      <w:r>
        <w:t xml:space="preserve"> </w:t>
      </w:r>
      <w:r>
        <w:t xml:space="preserve">the journey runs from the Home row through the thinking trace, the attribution artifact card, the</w:t>
      </w:r>
      <w:r>
        <w:t xml:space="preserve"> </w:t>
      </w:r>
      <w:r>
        <w:rPr>
          <w:rStyle w:val="VerbatimChar"/>
        </w:rPr>
        <w:t xml:space="preserve">V3</w:t>
      </w:r>
      <w:r>
        <w:t xml:space="preserve"> </w:t>
      </w:r>
      <w:r>
        <w:t xml:space="preserve">canvas, a follow-up asked from inside the canvas, the rebalance response, and an approval carrying the disclosure-above-numbers confirm and the drawn-check success state — with the 280 ms chip-to-bubble morph, 100 ms press scale on every tappable element, 60 ms chip stagger, the 380 ms shared-element card-to-canvas transition, the 600 ms count-up, and a</w:t>
      </w:r>
      <w:r>
        <w:t xml:space="preserve"> </w:t>
      </w:r>
      <w:r>
        <w:rPr>
          <w:rStyle w:val="VerbatimChar"/>
        </w:rPr>
        <w:t xml:space="preserve">prefers-reduced-motion</w:t>
      </w:r>
      <w:r>
        <w:t xml:space="preserve"> </w:t>
      </w:r>
      <w:r>
        <w:t xml:space="preserve">block.</w:t>
      </w:r>
    </w:p>
    <w:p>
      <w:r>
        <w:pict>
          <v:rect style="width:0;height:1.5pt" o:hralign="center" o:hrstd="t" o:hr="t"/>
        </w:pict>
      </w:r>
    </w:p>
    <w:bookmarkEnd w:id="23"/>
    <w:bookmarkStart w:id="24" w:name="what-to-report-back"/>
    <w:p>
      <w:pPr>
        <w:pStyle w:val="Heading2"/>
      </w:pPr>
      <w:r>
        <w:t xml:space="preserve">5. What to report back</w:t>
      </w:r>
    </w:p>
    <w:p>
      <w:pPr>
        <w:pStyle w:val="FirstParagraph"/>
      </w:pPr>
      <w:r>
        <w:t xml:space="preserve">For each step: what changed, which files, and anything in the spec that turned out to be wrong once you were in the code. That last part is the most useful thing you can tell me — two of v3’s own findings came from reading the source and contradicted the earlier spec.</w:t>
      </w:r>
    </w:p>
    <w:p>
      <w:pPr>
        <w:pStyle w:val="BodyText"/>
      </w:pPr>
      <w:r>
        <w:t xml:space="preserve">Do not ask permission to continue between steps 1 and 7. Ask only if a step requires inventing a new screen, a performance figure, a fee, or a regulatory statement.</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2026-09-16T09:25:57Z</dcterms:created>
  <dcterms:modified xsi:type="dcterms:W3CDTF">2026-09-16T09:25:57Z</dcterms:modified>
</cp:coreProperties>
</file>

<file path=docProps/custom.xml><?xml version="1.0" encoding="utf-8"?>
<Properties xmlns="http://schemas.openxmlformats.org/officeDocument/2006/custom-properties" xmlns:vt="http://schemas.openxmlformats.org/officeDocument/2006/docPropsVTypes"/>
</file>