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Arial" w:cs="Arial" w:eastAsia="Arial" w:hAnsi="Arial"/>
          <w:b/>
          <w:bCs/>
          <w:color w:val="888888"/>
          <w:sz w:val="28"/>
          <w:szCs w:val="28"/>
        </w:rPr>
        <w:t xml:space="preserve">ACADEMIC PROJECT DOCUMENT</w:t>
      </w:r>
    </w:p>
    <w:p>
      <w:pPr>
        <w:pBdr>
          <w:bottom w:val="single" w:color="1B3A5C" w:sz="6" w:space="12"/>
        </w:pBdr>
        <w:spacing w:after="200"/>
        <w:jc w:val="center"/>
      </w:pPr>
      <w:r>
        <w:rPr>
          <w:rFonts w:ascii="Arial" w:cs="Arial" w:eastAsia="Arial" w:hAnsi="Arial"/>
          <w:b/>
          <w:bCs/>
          <w:color w:val="1B3A5C"/>
          <w:sz w:val="36"/>
          <w:szCs w:val="36"/>
        </w:rPr>
        <w:t xml:space="preserve">Enhancing Security of Distributed Multi-Agent Systems in Smart Grids:</w:t>
      </w:r>
    </w:p>
    <w:p>
      <w:pPr>
        <w:spacing w:after="600"/>
        <w:jc w:val="center"/>
      </w:pPr>
      <w:r>
        <w:rPr>
          <w:rFonts w:ascii="Arial" w:cs="Arial" w:eastAsia="Arial" w:hAnsi="Arial"/>
          <w:b/>
          <w:bCs/>
          <w:color w:val="1B3A5C"/>
          <w:sz w:val="32"/>
          <w:szCs w:val="32"/>
        </w:rPr>
        <w:t xml:space="preserve">An AI-Driven Approach to Regular Audits — Extended Implementation</w:t>
      </w:r>
    </w:p>
    <w:p>
      <w:pPr>
        <w:spacing w:before="400"/>
      </w:pPr>
    </w:p>
    <w:p>
      <w:pPr>
        <w:spacing w:after="120"/>
        <w:jc w:val="center"/>
      </w:pPr>
      <w:r>
        <w:rPr>
          <w:rFonts w:ascii="Arial" w:cs="Arial" w:eastAsia="Arial" w:hAnsi="Arial"/>
          <w:color w:val="555555"/>
          <w:sz w:val="24"/>
          <w:szCs w:val="24"/>
        </w:rPr>
        <w:t xml:space="preserve">M.Tech Final Year Project</w:t>
      </w:r>
    </w:p>
    <w:p>
      <w:pPr>
        <w:spacing w:after="120"/>
        <w:jc w:val="center"/>
      </w:pPr>
      <w:r>
        <w:rPr>
          <w:rFonts w:ascii="Arial" w:cs="Arial" w:eastAsia="Arial" w:hAnsi="Arial"/>
          <w:color w:val="555555"/>
          <w:sz w:val="22"/>
          <w:szCs w:val="22"/>
        </w:rPr>
        <w:t xml:space="preserve">Base Paper: </w:t>
      </w:r>
      <w:r>
        <w:rPr>
          <w:rFonts w:ascii="Arial" w:cs="Arial" w:eastAsia="Arial" w:hAnsi="Arial"/>
          <w:i/>
          <w:iCs/>
          <w:color w:val="555555"/>
          <w:sz w:val="22"/>
          <w:szCs w:val="22"/>
        </w:rPr>
        <w:t xml:space="preserve">Priyadarsini et al., ACM TOPS 2025, NIT Raipur</w:t>
      </w:r>
    </w:p>
    <w:p>
      <w:pPr>
        <w:spacing w:before="600"/>
      </w:pPr>
    </w:p>
    <w:p>
      <w:pPr>
        <w:spacing w:after="80"/>
        <w:jc w:val="center"/>
      </w:pPr>
      <w:r>
        <w:rPr>
          <w:rFonts w:ascii="Arial" w:cs="Arial" w:eastAsia="Arial" w:hAnsi="Arial"/>
          <w:b/>
          <w:bCs/>
          <w:color w:val="1B3A5C"/>
          <w:sz w:val="22"/>
          <w:szCs w:val="22"/>
        </w:rPr>
        <w:t xml:space="preserve">Technology Stack</w:t>
      </w:r>
    </w:p>
    <w:p>
      <w:pPr>
        <w:jc w:val="center"/>
      </w:pPr>
      <w:r>
        <w:rPr>
          <w:rFonts w:ascii="Arial" w:cs="Arial" w:eastAsia="Arial" w:hAnsi="Arial"/>
          <w:color w:val="666666"/>
          <w:sz w:val="20"/>
          <w:szCs w:val="20"/>
        </w:rPr>
        <w:t xml:space="preserve">Python · FastAPI · PyTorch · Next.js · Rapid SCADA · Q-Learning · Dual-Branch LSTM</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Abstract</w:t>
      </w:r>
    </w:p>
    <w:p>
      <w:pPr>
        <w:spacing w:after="140"/>
        <w:jc w:val="both"/>
      </w:pPr>
      <w:r>
        <w:rPr>
          <w:rFonts w:ascii="Arial" w:cs="Arial" w:eastAsia="Arial" w:hAnsi="Arial"/>
          <w:b/>
          <w:bCs/>
          <w:sz w:val="22"/>
          <w:szCs w:val="22"/>
        </w:rPr>
        <w:t xml:space="preserve">What: </w:t>
      </w:r>
      <w:r>
        <w:rPr>
          <w:rFonts w:ascii="Arial" w:cs="Arial" w:eastAsia="Arial" w:hAnsi="Arial"/>
          <w:sz w:val="22"/>
          <w:szCs w:val="22"/>
        </w:rPr>
        <w:t xml:space="preserve">This project implements and extends an AI-driven multi-agent security audit framework for smart grid cyber-physical systems. The framework monitors 100 distributed grid assets — generators, substations, phasor measurement units, and breakers — and detects anomalies, schedules security audits, explains decisions, and records audit events on a tamper-evident ledger.</w:t>
      </w:r>
    </w:p>
    <w:p>
      <w:pPr>
        <w:spacing w:after="140"/>
        <w:jc w:val="both"/>
      </w:pPr>
      <w:r>
        <w:rPr>
          <w:rFonts w:ascii="Arial" w:cs="Arial" w:eastAsia="Arial" w:hAnsi="Arial"/>
          <w:b/>
          <w:bCs/>
          <w:sz w:val="22"/>
          <w:szCs w:val="22"/>
        </w:rPr>
        <w:t xml:space="preserve">Why: </w:t>
      </w:r>
      <w:r>
        <w:rPr>
          <w:rFonts w:ascii="Arial" w:cs="Arial" w:eastAsia="Arial" w:hAnsi="Arial"/>
          <w:sz w:val="22"/>
          <w:szCs w:val="22"/>
        </w:rPr>
        <w:t xml:space="preserve">Modern smart grids face coordinated cyber-physical attacks that simultaneously exploit physical process vulnerabilities and communication network weaknesses. Existing approaches use static thresholds, periodic auditing, and opaque anomaly detectors that generate high false positive rates and provide no basis for operator trust or regulatory justification. The base paper (Priyadarsini et al., ACM TOPS 2025) proposes the concept of anomaly-coupled dynamic audit scheduling but leaves the implementation, live integration, and explainability aspects unrealised.</w:t>
      </w:r>
    </w:p>
    <w:p>
      <w:pPr>
        <w:spacing w:after="140"/>
        <w:jc w:val="both"/>
      </w:pPr>
      <w:r>
        <w:rPr>
          <w:rFonts w:ascii="Arial" w:cs="Arial" w:eastAsia="Arial" w:hAnsi="Arial"/>
          <w:b/>
          <w:bCs/>
          <w:sz w:val="22"/>
          <w:szCs w:val="22"/>
        </w:rPr>
        <w:t xml:space="preserve">How: </w:t>
      </w:r>
      <w:r>
        <w:rPr>
          <w:rFonts w:ascii="Arial" w:cs="Arial" w:eastAsia="Arial" w:hAnsi="Arial"/>
          <w:sz w:val="22"/>
          <w:szCs w:val="22"/>
        </w:rPr>
        <w:t xml:space="preserve">This project extends the base paper by implementing a 3-modality voting ensemble (deviation scoring + dual-branch LSTM + behavioral signature detection) with Tier-A false positive suppression, a hybrid Q-learning and gradient descent audit scheduler, feature-level XAI attribution, a hash-chained blockchain audit ledger, and federated learning with FedAvg across agent clusters. The entire system is integrated with Rapid SCADA as a live OT telemetry source and presented through a 26-page operational dashboard. Evaluation at N=100 over a 24-hour cycle achieves 99.76% detection accuracy (vs paper’s 98.4%), 0.24% false positive rate (vs 3.2%), 95.93% risk mitigation (vs 87.9%), and 54.77% cost efficiency (vs 42.5%).</w:t>
      </w:r>
    </w:p>
    <w:p>
      <w:r>
        <w:br w:type="page"/>
      </w:r>
    </w:p>
    <w:p>
      <w:pPr>
        <w:pStyle w:val="Heading1"/>
        <w:spacing w:after="200" w:before="360"/>
      </w:pPr>
      <w:r>
        <w:rPr>
          <w:rFonts w:ascii="Arial" w:cs="Arial" w:eastAsia="Arial" w:hAnsi="Arial"/>
          <w:b/>
          <w:bCs/>
          <w:color w:val="1B3A5C"/>
          <w:sz w:val="32"/>
          <w:szCs w:val="32"/>
        </w:rPr>
        <w:t xml:space="preserve">Problem Statement</w:t>
      </w:r>
    </w:p>
    <w:p>
      <w:pPr>
        <w:spacing w:after="140"/>
        <w:jc w:val="both"/>
      </w:pPr>
      <w:r>
        <w:rPr>
          <w:rFonts w:ascii="Arial" w:cs="Arial" w:eastAsia="Arial" w:hAnsi="Arial"/>
          <w:sz w:val="22"/>
          <w:szCs w:val="22"/>
        </w:rPr>
        <w:t xml:space="preserve">Smart grids represent critical national infrastructure whose failure can cascade into widespread power outages, economic disruption, and public safety emergencies. As smart grids integrate digital communication, SCADA systems, smart meters, and distributed energy resources, the attack surface expands dramatically.</w:t>
      </w:r>
    </w:p>
    <w:p>
      <w:pPr>
        <w:spacing w:after="140"/>
        <w:jc w:val="both"/>
      </w:pPr>
      <w:r>
        <w:rPr>
          <w:rFonts w:ascii="Arial" w:cs="Arial" w:eastAsia="Arial" w:hAnsi="Arial"/>
          <w:sz w:val="22"/>
          <w:szCs w:val="22"/>
        </w:rPr>
        <w:t xml:space="preserve">The security audit problem in smart grids has two interconnected dimensions:</w:t>
      </w:r>
    </w:p>
    <w:p>
      <w:pPr>
        <w:spacing w:after="140"/>
        <w:jc w:val="both"/>
      </w:pPr>
      <w:r>
        <w:rPr>
          <w:rFonts w:ascii="Arial" w:cs="Arial" w:eastAsia="Arial" w:hAnsi="Arial"/>
          <w:b/>
          <w:bCs/>
          <w:sz w:val="22"/>
          <w:szCs w:val="22"/>
        </w:rPr>
        <w:t xml:space="preserve">Detection dimension: </w:t>
      </w:r>
      <w:r>
        <w:rPr>
          <w:rFonts w:ascii="Arial" w:cs="Arial" w:eastAsia="Arial" w:hAnsi="Arial"/>
          <w:sz w:val="22"/>
          <w:szCs w:val="22"/>
        </w:rPr>
        <w:t xml:space="preserve">Multi-point cyber-physical attacks are designed to be stealthy. A false data injection attack on a generator may produce a voltage reading within normal range while simultaneously degrading communication integrity in a way that only becomes suspicious when analysed across both physical and cyber channels together. Single-modality detectors — pure threshold rules or isolated machine learning models — fail to catch this because they examine either the physical layer or the cyber layer but not both simultaneously with temporal awareness.</w:t>
      </w:r>
    </w:p>
    <w:p>
      <w:pPr>
        <w:spacing w:after="140"/>
        <w:jc w:val="both"/>
      </w:pPr>
      <w:r>
        <w:rPr>
          <w:rFonts w:ascii="Arial" w:cs="Arial" w:eastAsia="Arial" w:hAnsi="Arial"/>
          <w:b/>
          <w:bCs/>
          <w:sz w:val="22"/>
          <w:szCs w:val="22"/>
        </w:rPr>
        <w:t xml:space="preserve">Scheduling dimension: </w:t>
      </w:r>
      <w:r>
        <w:rPr>
          <w:rFonts w:ascii="Arial" w:cs="Arial" w:eastAsia="Arial" w:hAnsi="Arial"/>
          <w:sz w:val="22"/>
          <w:szCs w:val="22"/>
        </w:rPr>
        <w:t xml:space="preserve">With 100 or more distributed agents and a finite audit budget, it is impossible to audit every agent at the same rate. Static periodic auditing wastes budget on low-risk assets and creates predictable blind spots that sophisticated adversaries can exploit. The need is for a system that dynamically allocates audit attention to the agents most likely to be under attack, at the time they are most likely to be attacked, without exceeding operational budget constraints.</w:t>
      </w:r>
    </w:p>
    <w:p>
      <w:pPr>
        <w:spacing w:after="140"/>
        <w:jc w:val="both"/>
      </w:pPr>
      <w:r>
        <w:rPr>
          <w:rFonts w:ascii="Arial" w:cs="Arial" w:eastAsia="Arial" w:hAnsi="Arial"/>
          <w:sz w:val="22"/>
          <w:szCs w:val="22"/>
        </w:rPr>
        <w:t xml:space="preserve">The base paper proposes a framework to address both dimensions but leaves the following gaps: no live SCADA integration, no explainability, no tamper-evident audit record, no privacy-preserving learning, and no implementation beyond a simulation runner. This project fills all of these gaps.</w:t>
      </w:r>
    </w:p>
    <w:p>
      <w:r>
        <w:br w:type="page"/>
      </w:r>
    </w:p>
    <w:p>
      <w:pPr>
        <w:pStyle w:val="Heading1"/>
        <w:spacing w:after="200" w:before="360"/>
      </w:pPr>
      <w:r>
        <w:rPr>
          <w:rFonts w:ascii="Arial" w:cs="Arial" w:eastAsia="Arial" w:hAnsi="Arial"/>
          <w:b/>
          <w:bCs/>
          <w:color w:val="1B3A5C"/>
          <w:sz w:val="32"/>
          <w:szCs w:val="32"/>
        </w:rPr>
        <w:t xml:space="preserve">Objective 1: Multi-Modal Anomaly Detection With Explainability</w:t>
      </w:r>
    </w:p>
    <w:p>
      <w:pPr>
        <w:spacing w:after="140"/>
        <w:jc w:val="both"/>
      </w:pPr>
      <w:r>
        <w:rPr>
          <w:rFonts w:ascii="Arial" w:cs="Arial" w:eastAsia="Arial" w:hAnsi="Arial"/>
          <w:b/>
          <w:bCs/>
          <w:sz w:val="22"/>
          <w:szCs w:val="22"/>
        </w:rPr>
        <w:t xml:space="preserve">Goal: </w:t>
      </w:r>
      <w:r>
        <w:rPr>
          <w:rFonts w:ascii="Arial" w:cs="Arial" w:eastAsia="Arial" w:hAnsi="Arial"/>
          <w:sz w:val="22"/>
          <w:szCs w:val="22"/>
        </w:rPr>
        <w:t xml:space="preserve">Develop a 3-modality anomaly detection ensemble that achieves higher accuracy and lower false positive rate than the base paper while providing feature-level explanation for every detected anomaly.</w:t>
      </w:r>
    </w:p>
    <w:p>
      <w:pPr>
        <w:pStyle w:val="Heading2"/>
        <w:spacing w:after="160" w:before="280"/>
      </w:pPr>
      <w:r>
        <w:rPr>
          <w:rFonts w:ascii="Arial" w:cs="Arial" w:eastAsia="Arial" w:hAnsi="Arial"/>
          <w:b/>
          <w:bCs/>
          <w:color w:val="2D5F8A"/>
          <w:sz w:val="26"/>
          <w:szCs w:val="26"/>
        </w:rPr>
        <w:t xml:space="preserve">Approach</w:t>
      </w:r>
    </w:p>
    <w:p>
      <w:pPr>
        <w:spacing w:after="140"/>
        <w:jc w:val="both"/>
      </w:pPr>
      <w:r>
        <w:rPr>
          <w:rFonts w:ascii="Arial" w:cs="Arial" w:eastAsia="Arial" w:hAnsi="Arial"/>
          <w:sz w:val="22"/>
          <w:szCs w:val="22"/>
        </w:rPr>
        <w:t xml:space="preserve">The first modality is </w:t>
      </w:r>
      <w:r>
        <w:rPr>
          <w:rFonts w:ascii="Arial" w:cs="Arial" w:eastAsia="Arial" w:hAnsi="Arial"/>
          <w:b/>
          <w:bCs/>
          <w:sz w:val="22"/>
          <w:szCs w:val="22"/>
        </w:rPr>
        <w:t xml:space="preserve">deviation scoring</w:t>
      </w:r>
      <w:r>
        <w:rPr>
          <w:rFonts w:ascii="Arial" w:cs="Arial" w:eastAsia="Arial" w:hAnsi="Arial"/>
          <w:sz w:val="22"/>
          <w:szCs w:val="22"/>
        </w:rPr>
        <w:t xml:space="preserve"> based on the base paper’s Equation 9, extended with per-agent-type profiles. For each agent, the RMS normalized deviation of physical features (voltage, current, frequency, power, response_time) and cyber features (latency, packet_loss, integrity, comm_freq) from agent-type-specific baselines is computed. The anomaly score is S</w:t>
      </w:r>
      <w:r>
        <w:rPr>
          <w:rFonts w:ascii="Arial" w:cs="Arial" w:eastAsia="Arial" w:hAnsi="Arial"/>
          <w:i/>
          <w:iCs/>
          <w:sz w:val="22"/>
          <w:szCs w:val="22"/>
        </w:rPr>
        <w:t xml:space="preserve">i</w:t>
      </w:r>
      <w:r>
        <w:rPr>
          <w:rFonts w:ascii="Arial" w:cs="Arial" w:eastAsia="Arial" w:hAnsi="Arial"/>
          <w:sz w:val="22"/>
          <w:szCs w:val="22"/>
        </w:rPr>
        <w:t xml:space="preserve">(t) = w</w:t>
      </w:r>
      <w:r>
        <w:rPr>
          <w:rFonts w:ascii="Arial" w:cs="Arial" w:eastAsia="Arial" w:hAnsi="Arial"/>
          <w:i/>
          <w:iCs/>
          <w:sz w:val="22"/>
          <w:szCs w:val="22"/>
        </w:rPr>
        <w:t xml:space="preserve">i</w:t>
      </w:r>
      <w:r>
        <w:rPr>
          <w:rFonts w:ascii="Arial" w:cs="Arial" w:eastAsia="Arial" w:hAnsi="Arial"/>
          <w:sz w:val="22"/>
          <w:szCs w:val="22"/>
        </w:rPr>
        <w:t xml:space="preserve"> × (d</w:t>
      </w:r>
      <w:r>
        <w:rPr>
          <w:rFonts w:ascii="Arial" w:cs="Arial" w:eastAsia="Arial" w:hAnsi="Arial"/>
          <w:i/>
          <w:iCs/>
          <w:sz w:val="22"/>
          <w:szCs w:val="22"/>
        </w:rPr>
        <w:t xml:space="preserve">x</w:t>
      </w:r>
      <w:r>
        <w:rPr>
          <w:rFonts w:ascii="Arial" w:cs="Arial" w:eastAsia="Arial" w:hAnsi="Arial"/>
          <w:sz w:val="22"/>
          <w:szCs w:val="22"/>
        </w:rPr>
        <w:t xml:space="preserve"> + d</w:t>
      </w:r>
      <w:r>
        <w:rPr>
          <w:rFonts w:ascii="Arial" w:cs="Arial" w:eastAsia="Arial" w:hAnsi="Arial"/>
          <w:i/>
          <w:iCs/>
          <w:sz w:val="22"/>
          <w:szCs w:val="22"/>
        </w:rPr>
        <w:t xml:space="preserve">y</w:t>
      </w:r>
      <w:r>
        <w:rPr>
          <w:rFonts w:ascii="Arial" w:cs="Arial" w:eastAsia="Arial" w:hAnsi="Arial"/>
          <w:sz w:val="22"/>
          <w:szCs w:val="22"/>
        </w:rPr>
        <w:t xml:space="preserve">), where d</w:t>
      </w:r>
      <w:r>
        <w:rPr>
          <w:rFonts w:ascii="Arial" w:cs="Arial" w:eastAsia="Arial" w:hAnsi="Arial"/>
          <w:i/>
          <w:iCs/>
          <w:sz w:val="22"/>
          <w:szCs w:val="22"/>
        </w:rPr>
        <w:t xml:space="preserve">x</w:t>
      </w:r>
      <w:r>
        <w:rPr>
          <w:rFonts w:ascii="Arial" w:cs="Arial" w:eastAsia="Arial" w:hAnsi="Arial"/>
          <w:sz w:val="22"/>
          <w:szCs w:val="22"/>
        </w:rPr>
        <w:t xml:space="preserve"> is physical RMS deviation, d</w:t>
      </w:r>
      <w:r>
        <w:rPr>
          <w:rFonts w:ascii="Arial" w:cs="Arial" w:eastAsia="Arial" w:hAnsi="Arial"/>
          <w:i/>
          <w:iCs/>
          <w:sz w:val="22"/>
          <w:szCs w:val="22"/>
        </w:rPr>
        <w:t xml:space="preserve">y</w:t>
      </w:r>
      <w:r>
        <w:rPr>
          <w:rFonts w:ascii="Arial" w:cs="Arial" w:eastAsia="Arial" w:hAnsi="Arial"/>
          <w:sz w:val="22"/>
          <w:szCs w:val="22"/>
        </w:rPr>
        <w:t xml:space="preserve"> is cyber RMS deviation, and w</w:t>
      </w:r>
      <w:r>
        <w:rPr>
          <w:rFonts w:ascii="Arial" w:cs="Arial" w:eastAsia="Arial" w:hAnsi="Arial"/>
          <w:i/>
          <w:iCs/>
          <w:sz w:val="22"/>
          <w:szCs w:val="22"/>
        </w:rPr>
        <w:t xml:space="preserve">i</w:t>
      </w:r>
      <w:r>
        <w:rPr>
          <w:rFonts w:ascii="Arial" w:cs="Arial" w:eastAsia="Arial" w:hAnsi="Arial"/>
          <w:sz w:val="22"/>
          <w:szCs w:val="22"/>
        </w:rPr>
        <w:t xml:space="preserve"> is the agent’s criticality weight.</w:t>
      </w:r>
    </w:p>
    <w:p>
      <w:pPr>
        <w:spacing w:after="140"/>
        <w:jc w:val="both"/>
      </w:pPr>
      <w:r>
        <w:rPr>
          <w:rFonts w:ascii="Arial" w:cs="Arial" w:eastAsia="Arial" w:hAnsi="Arial"/>
          <w:sz w:val="22"/>
          <w:szCs w:val="22"/>
        </w:rPr>
        <w:t xml:space="preserve">The second modality is a </w:t>
      </w:r>
      <w:r>
        <w:rPr>
          <w:rFonts w:ascii="Arial" w:cs="Arial" w:eastAsia="Arial" w:hAnsi="Arial"/>
          <w:b/>
          <w:bCs/>
          <w:sz w:val="22"/>
          <w:szCs w:val="22"/>
        </w:rPr>
        <w:t xml:space="preserve">dual-branch LSTM</w:t>
      </w:r>
      <w:r>
        <w:rPr>
          <w:rFonts w:ascii="Arial" w:cs="Arial" w:eastAsia="Arial" w:hAnsi="Arial"/>
          <w:sz w:val="22"/>
          <w:szCs w:val="22"/>
        </w:rPr>
        <w:t xml:space="preserve">. Physical and cyber features are processed through separate LSTM branches (64 hidden units each) and merged before a final classification head. The model is trained on 24-timestep sliding windows with focal loss (γ=2.0, α=0.65) and oversampling to handle class imbalance. Anomaly probability is calibrated via temperature scaling on a held-out validation set.</w:t>
      </w:r>
    </w:p>
    <w:p>
      <w:pPr>
        <w:spacing w:after="140"/>
        <w:jc w:val="both"/>
      </w:pPr>
      <w:r>
        <w:rPr>
          <w:rFonts w:ascii="Arial" w:cs="Arial" w:eastAsia="Arial" w:hAnsi="Arial"/>
          <w:sz w:val="22"/>
          <w:szCs w:val="22"/>
        </w:rPr>
        <w:t xml:space="preserve">The third modality is a </w:t>
      </w:r>
      <w:r>
        <w:rPr>
          <w:rFonts w:ascii="Arial" w:cs="Arial" w:eastAsia="Arial" w:hAnsi="Arial"/>
          <w:b/>
          <w:bCs/>
          <w:sz w:val="22"/>
          <w:szCs w:val="22"/>
        </w:rPr>
        <w:t xml:space="preserve">behavioral signature detector</w:t>
      </w:r>
      <w:r>
        <w:rPr>
          <w:rFonts w:ascii="Arial" w:cs="Arial" w:eastAsia="Arial" w:hAnsi="Arial"/>
          <w:sz w:val="22"/>
          <w:szCs w:val="22"/>
        </w:rPr>
        <w:t xml:space="preserve"> that identifies temporal attack patterns: step changes (sudden large deviations), ramp drift (sustained directional trend), and oscillation (sinusoidal pattern consistent with replay or oscillation attacks).</w:t>
      </w:r>
    </w:p>
    <w:p>
      <w:pPr>
        <w:spacing w:after="140"/>
        <w:jc w:val="both"/>
      </w:pPr>
      <w:r>
        <w:rPr>
          <w:rFonts w:ascii="Arial" w:cs="Arial" w:eastAsia="Arial" w:hAnsi="Arial"/>
          <w:b/>
          <w:bCs/>
          <w:sz w:val="22"/>
          <w:szCs w:val="22"/>
        </w:rPr>
        <w:t xml:space="preserve">Tier-A false positive suppression</w:t>
      </w:r>
      <w:r>
        <w:rPr>
          <w:rFonts w:ascii="Arial" w:cs="Arial" w:eastAsia="Arial" w:hAnsi="Arial"/>
          <w:sz w:val="22"/>
          <w:szCs w:val="22"/>
        </w:rPr>
        <w:t xml:space="preserve"> removes flags where the anomaly score ratio is below 3.5× the agent’s historical mean AND no behavioral signature is present AND the LSTM probability is below 0.3. This eliminates physical noise misclassified as attacks without sacrificing recall.</w:t>
      </w:r>
    </w:p>
    <w:p>
      <w:pPr>
        <w:spacing w:after="140"/>
        <w:jc w:val="both"/>
      </w:pPr>
      <w:r>
        <w:rPr>
          <w:rFonts w:ascii="Arial" w:cs="Arial" w:eastAsia="Arial" w:hAnsi="Arial"/>
          <w:b/>
          <w:bCs/>
          <w:sz w:val="22"/>
          <w:szCs w:val="22"/>
        </w:rPr>
        <w:t xml:space="preserve">Feature attribution for explainability</w:t>
      </w:r>
      <w:r>
        <w:rPr>
          <w:rFonts w:ascii="Arial" w:cs="Arial" w:eastAsia="Arial" w:hAnsi="Arial"/>
          <w:sz w:val="22"/>
          <w:szCs w:val="22"/>
        </w:rPr>
        <w:t xml:space="preserve"> uses normalized squared deviation contributions per feature, displayed as percentage bar charts in the dashboard. Each anomaly flag is accompanied by a ranked explanation of which features contributed most.</w:t>
      </w:r>
    </w:p>
    <w:p>
      <w:pPr>
        <w:spacing w:after="140"/>
        <w:jc w:val="both"/>
      </w:pPr>
      <w:r>
        <w:rPr>
          <w:rFonts w:ascii="Arial" w:cs="Arial" w:eastAsia="Arial" w:hAnsi="Arial"/>
          <w:b/>
          <w:bCs/>
          <w:sz w:val="22"/>
          <w:szCs w:val="22"/>
        </w:rPr>
        <w:t xml:space="preserve">Result: </w:t>
      </w:r>
      <w:r>
        <w:rPr>
          <w:rFonts w:ascii="Arial" w:cs="Arial" w:eastAsia="Arial" w:hAnsi="Arial"/>
          <w:sz w:val="22"/>
          <w:szCs w:val="22"/>
        </w:rPr>
        <w:t xml:space="preserve">99.76% accuracy, 0.24% FPR, 100% recall. False positive rate reduced from 3.2% (base paper) to 0.24% through Tier-A suppression while maintaining perfect recall.</w:t>
      </w:r>
    </w:p>
    <w:p>
      <w:r>
        <w:br w:type="page"/>
      </w:r>
    </w:p>
    <w:p>
      <w:pPr>
        <w:pStyle w:val="Heading1"/>
        <w:spacing w:after="200" w:before="360"/>
      </w:pPr>
      <w:r>
        <w:rPr>
          <w:rFonts w:ascii="Arial" w:cs="Arial" w:eastAsia="Arial" w:hAnsi="Arial"/>
          <w:b/>
          <w:bCs/>
          <w:color w:val="1B3A5C"/>
          <w:sz w:val="32"/>
          <w:szCs w:val="32"/>
        </w:rPr>
        <w:t xml:space="preserve">Objective 2: Hybrid Q-Learning and Gradient Descent Audit Scheduler</w:t>
      </w:r>
    </w:p>
    <w:p>
      <w:pPr>
        <w:spacing w:after="140"/>
        <w:jc w:val="both"/>
      </w:pPr>
      <w:r>
        <w:rPr>
          <w:rFonts w:ascii="Arial" w:cs="Arial" w:eastAsia="Arial" w:hAnsi="Arial"/>
          <w:b/>
          <w:bCs/>
          <w:sz w:val="22"/>
          <w:szCs w:val="22"/>
        </w:rPr>
        <w:t xml:space="preserve">Goal: </w:t>
      </w:r>
      <w:r>
        <w:rPr>
          <w:rFonts w:ascii="Arial" w:cs="Arial" w:eastAsia="Arial" w:hAnsi="Arial"/>
          <w:sz w:val="22"/>
          <w:szCs w:val="22"/>
        </w:rPr>
        <w:t xml:space="preserve">Implement an adaptive audit scheduler that allocates audit resources to the highest-risk assets within a budget, outperforming both the base paper’s approach and a fixed-period baseline.</w:t>
      </w:r>
    </w:p>
    <w:p>
      <w:pPr>
        <w:pStyle w:val="Heading2"/>
        <w:spacing w:after="160" w:before="280"/>
      </w:pPr>
      <w:r>
        <w:rPr>
          <w:rFonts w:ascii="Arial" w:cs="Arial" w:eastAsia="Arial" w:hAnsi="Arial"/>
          <w:b/>
          <w:bCs/>
          <w:color w:val="2D5F8A"/>
          <w:sz w:val="26"/>
          <w:szCs w:val="26"/>
        </w:rPr>
        <w:t xml:space="preserve">Approach</w:t>
      </w:r>
    </w:p>
    <w:p>
      <w:pPr>
        <w:spacing w:after="140"/>
        <w:jc w:val="both"/>
      </w:pPr>
      <w:r>
        <w:rPr>
          <w:rFonts w:ascii="Arial" w:cs="Arial" w:eastAsia="Arial" w:hAnsi="Arial"/>
          <w:sz w:val="22"/>
          <w:szCs w:val="22"/>
        </w:rPr>
        <w:t xml:space="preserve">The Q-learning component encodes each agent’s state as a tuple of (anomaly_score_bin, risk_bin, audit_count_bin) with 3 bins each, yielding 27 states per agent. The action space is discrete: {INCREASE_AUDIT, DECREASE_AUDIT, HOLD}. The Bellman update is:</w:t>
      </w:r>
    </w:p>
    <w:p>
      <w:pPr>
        <w:spacing w:after="140"/>
        <w:jc w:val="both"/>
      </w:pPr>
      <w:r>
        <w:rPr>
          <w:rFonts w:ascii="Arial" w:cs="Arial" w:eastAsia="Arial" w:hAnsi="Arial"/>
          <w:i/>
          <w:iCs/>
          <w:sz w:val="22"/>
          <w:szCs w:val="22"/>
        </w:rPr>
        <w:t xml:space="preserve">Q(s,a) ← Q(s,a) + α [r + γ max</w:t>
      </w:r>
      <w:r>
        <w:rPr>
          <w:rFonts w:ascii="Arial" w:cs="Arial" w:eastAsia="Arial" w:hAnsi="Arial"/>
          <w:sz w:val="22"/>
          <w:szCs w:val="22"/>
        </w:rPr>
        <w:t xml:space="preserve">a’</w:t>
      </w:r>
      <w:r>
        <w:rPr>
          <w:rFonts w:ascii="Arial" w:cs="Arial" w:eastAsia="Arial" w:hAnsi="Arial"/>
          <w:i/>
          <w:iCs/>
          <w:sz w:val="22"/>
          <w:szCs w:val="22"/>
        </w:rPr>
        <w:t xml:space="preserve"> Q(s’,a’) − Q(s,a)]</w:t>
      </w:r>
    </w:p>
    <w:p>
      <w:pPr>
        <w:spacing w:after="140"/>
        <w:jc w:val="both"/>
      </w:pPr>
      <w:r>
        <w:rPr>
          <w:rFonts w:ascii="Arial" w:cs="Arial" w:eastAsia="Arial" w:hAnsi="Arial"/>
          <w:sz w:val="22"/>
          <w:szCs w:val="22"/>
        </w:rPr>
        <w:t xml:space="preserve">The reward function penalises missed attacks (−11.0), audit cost (−0.03 per action), high-risk under-auditing (quadratic penalty −5.0), and rewards proactive high-risk auditing (+2.5). The asymmetric penalty (attack penalty 367× audit cost) biases the policy toward security-first behaviour.</w:t>
      </w:r>
    </w:p>
    <w:p>
      <w:pPr>
        <w:spacing w:after="140"/>
        <w:jc w:val="both"/>
      </w:pPr>
      <w:r>
        <w:rPr>
          <w:rFonts w:ascii="Arial" w:cs="Arial" w:eastAsia="Arial" w:hAnsi="Arial"/>
          <w:sz w:val="22"/>
          <w:szCs w:val="22"/>
        </w:rPr>
        <w:t xml:space="preserve">After Q-learning selects the directional action, gradient descent refines the continuous audit frequency by minimising the cost function C</w:t>
      </w:r>
      <w:r>
        <w:rPr>
          <w:rFonts w:ascii="Arial" w:cs="Arial" w:eastAsia="Arial" w:hAnsi="Arial"/>
          <w:i/>
          <w:iCs/>
          <w:sz w:val="22"/>
          <w:szCs w:val="22"/>
        </w:rPr>
        <w:t xml:space="preserve">i</w:t>
      </w:r>
      <w:r>
        <w:rPr>
          <w:rFonts w:ascii="Arial" w:cs="Arial" w:eastAsia="Arial" w:hAnsi="Arial"/>
          <w:sz w:val="22"/>
          <w:szCs w:val="22"/>
        </w:rPr>
        <w:t xml:space="preserve">(f</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a</w:t>
      </w:r>
      <w:r>
        <w:rPr>
          <w:rFonts w:ascii="Arial" w:cs="Arial" w:eastAsia="Arial" w:hAnsi="Arial"/>
          <w:sz w:val="22"/>
          <w:szCs w:val="22"/>
        </w:rPr>
        <w:t xml:space="preserve"> × f</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f</w:t>
      </w:r>
      <w:r>
        <w:rPr>
          <w:rFonts w:ascii="Arial" w:cs="Arial" w:eastAsia="Arial" w:hAnsi="Arial"/>
          <w:sz w:val="22"/>
          <w:szCs w:val="22"/>
        </w:rPr>
        <w:t xml:space="preserve"> × (R</w:t>
      </w:r>
      <w:r>
        <w:rPr>
          <w:rFonts w:ascii="Arial" w:cs="Arial" w:eastAsia="Arial" w:hAnsi="Arial"/>
          <w:i/>
          <w:iCs/>
          <w:sz w:val="22"/>
          <w:szCs w:val="22"/>
        </w:rPr>
        <w:t xml:space="preserve">i</w:t>
      </w:r>
      <w:r>
        <w:rPr>
          <w:rFonts w:ascii="Arial" w:cs="Arial" w:eastAsia="Arial" w:hAnsi="Arial"/>
          <w:sz w:val="22"/>
          <w:szCs w:val="22"/>
        </w:rPr>
        <w:t xml:space="preserve"> / f</w:t>
      </w:r>
      <w:r>
        <w:rPr>
          <w:rFonts w:ascii="Arial" w:cs="Arial" w:eastAsia="Arial" w:hAnsi="Arial"/>
          <w:i/>
          <w:iCs/>
          <w:sz w:val="22"/>
          <w:szCs w:val="22"/>
        </w:rPr>
        <w:t xml:space="preserve">i</w:t>
      </w:r>
      <w:r>
        <w:rPr>
          <w:rFonts w:ascii="Arial" w:cs="Arial" w:eastAsia="Arial" w:hAnsi="Arial"/>
          <w:sz w:val="22"/>
          <w:szCs w:val="22"/>
        </w:rPr>
        <w:t xml:space="preserve">). The gradient dC/df = C</w:t>
      </w:r>
      <w:r>
        <w:rPr>
          <w:rFonts w:ascii="Arial" w:cs="Arial" w:eastAsia="Arial" w:hAnsi="Arial"/>
          <w:i/>
          <w:iCs/>
          <w:sz w:val="22"/>
          <w:szCs w:val="22"/>
        </w:rPr>
        <w:t xml:space="preserve">a</w:t>
      </w:r>
      <w:r>
        <w:rPr>
          <w:rFonts w:ascii="Arial" w:cs="Arial" w:eastAsia="Arial" w:hAnsi="Arial"/>
          <w:sz w:val="22"/>
          <w:szCs w:val="22"/>
        </w:rPr>
        <w:t xml:space="preserve"> − C</w:t>
      </w:r>
      <w:r>
        <w:rPr>
          <w:rFonts w:ascii="Arial" w:cs="Arial" w:eastAsia="Arial" w:hAnsi="Arial"/>
          <w:i/>
          <w:iCs/>
          <w:sz w:val="22"/>
          <w:szCs w:val="22"/>
        </w:rPr>
        <w:t xml:space="preserve">f</w:t>
      </w:r>
      <w:r>
        <w:rPr>
          <w:rFonts w:ascii="Arial" w:cs="Arial" w:eastAsia="Arial" w:hAnsi="Arial"/>
          <w:sz w:val="22"/>
          <w:szCs w:val="22"/>
        </w:rPr>
        <w:t xml:space="preserve"> × (R</w:t>
      </w:r>
      <w:r>
        <w:rPr>
          <w:rFonts w:ascii="Arial" w:cs="Arial" w:eastAsia="Arial" w:hAnsi="Arial"/>
          <w:i/>
          <w:iCs/>
          <w:sz w:val="22"/>
          <w:szCs w:val="22"/>
        </w:rPr>
        <w:t xml:space="preserve">i</w:t>
      </w:r>
      <w:r>
        <w:rPr>
          <w:rFonts w:ascii="Arial" w:cs="Arial" w:eastAsia="Arial" w:hAnsi="Arial"/>
          <w:sz w:val="22"/>
          <w:szCs w:val="22"/>
        </w:rPr>
        <w:t xml:space="preserve"> / f</w:t>
      </w:r>
      <w:r>
        <w:rPr>
          <w:rFonts w:ascii="Arial" w:cs="Arial" w:eastAsia="Arial" w:hAnsi="Arial"/>
          <w:i/>
          <w:iCs/>
          <w:sz w:val="22"/>
          <w:szCs w:val="22"/>
        </w:rPr>
        <w:t xml:space="preserve">i</w:t>
      </w:r>
      <w:r>
        <w:rPr>
          <w:rFonts w:ascii="Arial" w:cs="Arial" w:eastAsia="Arial" w:hAnsi="Arial"/>
          <w:sz w:val="22"/>
          <w:szCs w:val="22"/>
        </w:rPr>
        <w:t xml:space="preserve">²) points toward the analytically optimal frequency f* = √(C</w:t>
      </w:r>
      <w:r>
        <w:rPr>
          <w:rFonts w:ascii="Arial" w:cs="Arial" w:eastAsia="Arial" w:hAnsi="Arial"/>
          <w:i/>
          <w:iCs/>
          <w:sz w:val="22"/>
          <w:szCs w:val="22"/>
        </w:rPr>
        <w:t xml:space="preserve">f</w:t>
      </w:r>
      <w:r>
        <w:rPr>
          <w:rFonts w:ascii="Arial" w:cs="Arial" w:eastAsia="Arial" w:hAnsi="Arial"/>
          <w:sz w:val="22"/>
          <w:szCs w:val="22"/>
        </w:rPr>
        <w:t xml:space="preserve"> × R</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a</w:t>
      </w:r>
      <w:r>
        <w:rPr>
          <w:rFonts w:ascii="Arial" w:cs="Arial" w:eastAsia="Arial" w:hAnsi="Arial"/>
          <w:sz w:val="22"/>
          <w:szCs w:val="22"/>
        </w:rPr>
        <w:t xml:space="preserve">). Budget constraints clip individual frequencies and rescale the allocation to enforce the global budget cap.</w:t>
      </w:r>
    </w:p>
    <w:p>
      <w:pPr>
        <w:spacing w:after="140"/>
        <w:jc w:val="both"/>
      </w:pPr>
      <w:r>
        <w:rPr>
          <w:rFonts w:ascii="Arial" w:cs="Arial" w:eastAsia="Arial" w:hAnsi="Arial"/>
          <w:sz w:val="22"/>
          <w:szCs w:val="22"/>
        </w:rPr>
        <w:t xml:space="preserve">The hybrid approach is superior to Q-learning alone (better precision in frequency values) and gradient descent alone (better directional decisions when risk landscape is non-convex).</w:t>
      </w:r>
    </w:p>
    <w:p>
      <w:pPr>
        <w:spacing w:after="140"/>
        <w:jc w:val="both"/>
      </w:pPr>
      <w:r>
        <w:rPr>
          <w:rFonts w:ascii="Arial" w:cs="Arial" w:eastAsia="Arial" w:hAnsi="Arial"/>
          <w:b/>
          <w:bCs/>
          <w:sz w:val="22"/>
          <w:szCs w:val="22"/>
        </w:rPr>
        <w:t xml:space="preserve">Result: </w:t>
      </w:r>
      <w:r>
        <w:rPr>
          <w:rFonts w:ascii="Arial" w:cs="Arial" w:eastAsia="Arial" w:hAnsi="Arial"/>
          <w:sz w:val="22"/>
          <w:szCs w:val="22"/>
        </w:rPr>
        <w:t xml:space="preserve">Cost efficiency improved from 42.5% (base paper) to 54.77%. Audit coverage improved from 93.8% to 100%. High-risk agents receive 3–5× more audits than low-risk agents while the global budget is never exceeded.</w:t>
      </w:r>
    </w:p>
    <w:p>
      <w:r>
        <w:br w:type="page"/>
      </w:r>
    </w:p>
    <w:p>
      <w:pPr>
        <w:pStyle w:val="Heading1"/>
        <w:spacing w:after="200" w:before="360"/>
      </w:pPr>
      <w:r>
        <w:rPr>
          <w:rFonts w:ascii="Arial" w:cs="Arial" w:eastAsia="Arial" w:hAnsi="Arial"/>
          <w:b/>
          <w:bCs/>
          <w:color w:val="1B3A5C"/>
          <w:sz w:val="32"/>
          <w:szCs w:val="32"/>
        </w:rPr>
        <w:t xml:space="preserve">Objective 3: Live SCADA Integration, Blockchain Audit Trail, and Federated Learning</w:t>
      </w:r>
    </w:p>
    <w:p>
      <w:pPr>
        <w:spacing w:after="140"/>
        <w:jc w:val="both"/>
      </w:pPr>
      <w:r>
        <w:rPr>
          <w:rFonts w:ascii="Arial" w:cs="Arial" w:eastAsia="Arial" w:hAnsi="Arial"/>
          <w:b/>
          <w:bCs/>
          <w:sz w:val="22"/>
          <w:szCs w:val="22"/>
        </w:rPr>
        <w:t xml:space="preserve">Goal: </w:t>
      </w:r>
      <w:r>
        <w:rPr>
          <w:rFonts w:ascii="Arial" w:cs="Arial" w:eastAsia="Arial" w:hAnsi="Arial"/>
          <w:sz w:val="22"/>
          <w:szCs w:val="22"/>
        </w:rPr>
        <w:t xml:space="preserve">Demonstrate the detection and scheduling pipeline on live Rapid SCADA telemetry, record all decisions on a tamper-evident ledger, and implement privacy-preserving model aggregation across agent clusters.</w:t>
      </w:r>
    </w:p>
    <w:p>
      <w:pPr>
        <w:pStyle w:val="Heading2"/>
        <w:spacing w:after="160" w:before="280"/>
      </w:pPr>
      <w:r>
        <w:rPr>
          <w:rFonts w:ascii="Arial" w:cs="Arial" w:eastAsia="Arial" w:hAnsi="Arial"/>
          <w:b/>
          <w:bCs/>
          <w:color w:val="2D5F8A"/>
          <w:sz w:val="26"/>
          <w:szCs w:val="26"/>
        </w:rPr>
        <w:t xml:space="preserve">Live SCADA Integration</w:t>
      </w:r>
    </w:p>
    <w:p>
      <w:pPr>
        <w:spacing w:after="140"/>
        <w:jc w:val="both"/>
      </w:pPr>
      <w:r>
        <w:rPr>
          <w:rFonts w:ascii="Arial" w:cs="Arial" w:eastAsia="Arial" w:hAnsi="Arial"/>
          <w:sz w:val="22"/>
          <w:szCs w:val="22"/>
        </w:rPr>
        <w:t xml:space="preserve">Rapid SCADA Webstation is configured with a 100-agent grid using 670 channels (300 physical + 370 cyber addon). A PowerShell bridge (830 lines) polls the SCADA Web API every 5 seconds and posts a batch of all 100 agents to the FastAPI backend. The backend normalises SCADA tags through per-agent-type profiles, runs the full detection and scheduling pipeline, and stores results for dashboard consumption.</w:t>
      </w:r>
    </w:p>
    <w:p>
      <w:pPr>
        <w:spacing w:after="140"/>
        <w:jc w:val="both"/>
      </w:pPr>
      <w:r>
        <w:rPr>
          <w:rFonts w:ascii="Arial" w:cs="Arial" w:eastAsia="Arial" w:hAnsi="Arial"/>
          <w:sz w:val="22"/>
          <w:szCs w:val="22"/>
        </w:rPr>
        <w:t xml:space="preserve">Physical tags (voltage, current, load, frequency, breaker status) come from live calculated SCADA channels. Cyber tags (packet_loss, integrity, comm_freq) use engineered baselines, as Rapid SCADA is a process-control system rather than a network monitor — the same approach used by all comparable academic CPS testbeds.</w:t>
      </w:r>
    </w:p>
    <w:p>
      <w:pPr>
        <w:pStyle w:val="Heading2"/>
        <w:spacing w:after="160" w:before="280"/>
      </w:pPr>
      <w:r>
        <w:rPr>
          <w:rFonts w:ascii="Arial" w:cs="Arial" w:eastAsia="Arial" w:hAnsi="Arial"/>
          <w:b/>
          <w:bCs/>
          <w:color w:val="2D5F8A"/>
          <w:sz w:val="26"/>
          <w:szCs w:val="26"/>
        </w:rPr>
        <w:t xml:space="preserve">Blockchain Audit Ledger</w:t>
      </w:r>
    </w:p>
    <w:p>
      <w:pPr>
        <w:spacing w:after="140"/>
        <w:jc w:val="both"/>
      </w:pPr>
      <w:r>
        <w:rPr>
          <w:rFonts w:ascii="Arial" w:cs="Arial" w:eastAsia="Arial" w:hAnsi="Arial"/>
          <w:sz w:val="22"/>
          <w:szCs w:val="22"/>
        </w:rPr>
        <w:t xml:space="preserve">Every audit event is stored as a hash-chain entry: hash = SHA256(previous_hash + agent_id + timestamp + score + action + severity). Chain integrity is verifiable at any time. Tampering with any record breaks the chain at that point. This addresses the base paper’s call for tamper-evident audit trails and satisfies NERC CIP and IEC 62443 audit requirements.</w:t>
      </w:r>
    </w:p>
    <w:p>
      <w:pPr>
        <w:pStyle w:val="Heading2"/>
        <w:spacing w:after="160" w:before="280"/>
      </w:pPr>
      <w:r>
        <w:rPr>
          <w:rFonts w:ascii="Arial" w:cs="Arial" w:eastAsia="Arial" w:hAnsi="Arial"/>
          <w:b/>
          <w:bCs/>
          <w:color w:val="2D5F8A"/>
          <w:sz w:val="26"/>
          <w:szCs w:val="26"/>
        </w:rPr>
        <w:t xml:space="preserve">Federated Learning</w:t>
      </w:r>
    </w:p>
    <w:p>
      <w:pPr>
        <w:spacing w:after="140"/>
        <w:jc w:val="both"/>
      </w:pPr>
      <w:r>
        <w:rPr>
          <w:rFonts w:ascii="Arial" w:cs="Arial" w:eastAsia="Arial" w:hAnsi="Arial"/>
          <w:sz w:val="22"/>
          <w:szCs w:val="22"/>
        </w:rPr>
        <w:t xml:space="preserve">Four agent clusters (GEN, SUB, PMU, BRK) each train an LSTM locally. FedAvg aggregates weight updates from all clusters: global_weights = Σ(n</w:t>
      </w:r>
      <w:r>
        <w:rPr>
          <w:rFonts w:ascii="Arial" w:cs="Arial" w:eastAsia="Arial" w:hAnsi="Arial"/>
          <w:i/>
          <w:iCs/>
          <w:sz w:val="22"/>
          <w:szCs w:val="22"/>
        </w:rPr>
        <w:t xml:space="preserve">k</w:t>
      </w:r>
      <w:r>
        <w:rPr>
          <w:rFonts w:ascii="Arial" w:cs="Arial" w:eastAsia="Arial" w:hAnsi="Arial"/>
          <w:sz w:val="22"/>
          <w:szCs w:val="22"/>
        </w:rPr>
        <w:t xml:space="preserve"> / N × local_weights</w:t>
      </w:r>
      <w:r>
        <w:rPr>
          <w:rFonts w:ascii="Arial" w:cs="Arial" w:eastAsia="Arial" w:hAnsi="Arial"/>
          <w:i/>
          <w:iCs/>
          <w:sz w:val="22"/>
          <w:szCs w:val="22"/>
        </w:rPr>
        <w:t xml:space="preserve">k</w:t>
      </w:r>
      <w:r>
        <w:rPr>
          <w:rFonts w:ascii="Arial" w:cs="Arial" w:eastAsia="Arial" w:hAnsi="Arial"/>
          <w:sz w:val="22"/>
          <w:szCs w:val="22"/>
        </w:rPr>
        <w:t xml:space="preserve">). No raw telemetry leaves any cluster. The global model benefits from cross-domain knowledge without privacy violations.</w:t>
      </w:r>
    </w:p>
    <w:p>
      <w:pPr>
        <w:spacing w:after="140"/>
        <w:jc w:val="both"/>
      </w:pPr>
      <w:r>
        <w:rPr>
          <w:rFonts w:ascii="Arial" w:cs="Arial" w:eastAsia="Arial" w:hAnsi="Arial"/>
          <w:b/>
          <w:bCs/>
          <w:sz w:val="22"/>
          <w:szCs w:val="22"/>
        </w:rPr>
        <w:t xml:space="preserve">Result: </w:t>
      </w:r>
      <w:r>
        <w:rPr>
          <w:rFonts w:ascii="Arial" w:cs="Arial" w:eastAsia="Arial" w:hAnsi="Arial"/>
          <w:sz w:val="22"/>
          <w:szCs w:val="22"/>
        </w:rPr>
        <w:t xml:space="preserve">Live SCADA verification: 100 live agents, 0 non-live. Dashboard operational with 26 pages across two workspaces. Blockchain ledger integrity verified across 10 test runs. Federated convergence achieved in 5 rounds.</w:t>
      </w:r>
    </w:p>
    <w:p>
      <w:r>
        <w:br w:type="page"/>
      </w:r>
    </w:p>
    <w:p>
      <w:pPr>
        <w:pStyle w:val="Heading1"/>
        <w:spacing w:after="200" w:before="360"/>
      </w:pPr>
      <w:r>
        <w:rPr>
          <w:rFonts w:ascii="Arial" w:cs="Arial" w:eastAsia="Arial" w:hAnsi="Arial"/>
          <w:b/>
          <w:bCs/>
          <w:color w:val="1B3A5C"/>
          <w:sz w:val="32"/>
          <w:szCs w:val="32"/>
        </w:rPr>
        <w:t xml:space="preserve">Scope of Work</w:t>
      </w:r>
    </w:p>
    <w:p>
      <w:pPr>
        <w:pStyle w:val="ListParagraph"/>
        <w:numPr>
          <w:ilvl w:val="0"/>
          <w:numId w:val="2"/>
        </w:numPr>
        <w:spacing w:after="100"/>
      </w:pPr>
      <w:r>
        <w:rPr>
          <w:rFonts w:ascii="Arial" w:cs="Arial" w:eastAsia="Arial" w:hAnsi="Arial"/>
          <w:sz w:val="22"/>
          <w:szCs w:val="22"/>
        </w:rPr>
        <w:t xml:space="preserve">Implementation of a multi-agent anomaly detection framework for smart grid cyber-physical security, extending the framework proposed by Priyadarsini et al. (ACM TOPS 2025)</w:t>
      </w:r>
    </w:p>
    <w:p>
      <w:pPr>
        <w:pStyle w:val="ListParagraph"/>
        <w:numPr>
          <w:ilvl w:val="0"/>
          <w:numId w:val="2"/>
        </w:numPr>
        <w:spacing w:after="100"/>
      </w:pPr>
      <w:r>
        <w:rPr>
          <w:rFonts w:ascii="Arial" w:cs="Arial" w:eastAsia="Arial" w:hAnsi="Arial"/>
          <w:sz w:val="22"/>
          <w:szCs w:val="22"/>
        </w:rPr>
        <w:t xml:space="preserve">Development and validation of a 3-modality voting ensemble combining deviation scoring, dual-branch LSTM, and behavioral signature detection, with Tier-A false positive suppression</w:t>
      </w:r>
    </w:p>
    <w:p>
      <w:pPr>
        <w:pStyle w:val="ListParagraph"/>
        <w:numPr>
          <w:ilvl w:val="0"/>
          <w:numId w:val="2"/>
        </w:numPr>
        <w:spacing w:after="100"/>
      </w:pPr>
      <w:r>
        <w:rPr>
          <w:rFonts w:ascii="Arial" w:cs="Arial" w:eastAsia="Arial" w:hAnsi="Arial"/>
          <w:sz w:val="22"/>
          <w:szCs w:val="22"/>
        </w:rPr>
        <w:t xml:space="preserve">Development and validation of a hybrid Q-learning and gradient descent audit scheduler with budget constraints</w:t>
      </w:r>
    </w:p>
    <w:p>
      <w:pPr>
        <w:pStyle w:val="ListParagraph"/>
        <w:numPr>
          <w:ilvl w:val="0"/>
          <w:numId w:val="2"/>
        </w:numPr>
        <w:spacing w:after="100"/>
      </w:pPr>
      <w:r>
        <w:rPr>
          <w:rFonts w:ascii="Arial" w:cs="Arial" w:eastAsia="Arial" w:hAnsi="Arial"/>
          <w:sz w:val="22"/>
          <w:szCs w:val="22"/>
        </w:rPr>
        <w:t xml:space="preserve">Integration with Rapid SCADA as a live OT telemetry source for a 100-agent smart grid model comprising generators, substations, PMUs, and breakers</w:t>
      </w:r>
    </w:p>
    <w:p>
      <w:pPr>
        <w:pStyle w:val="ListParagraph"/>
        <w:numPr>
          <w:ilvl w:val="0"/>
          <w:numId w:val="2"/>
        </w:numPr>
        <w:spacing w:after="100"/>
      </w:pPr>
      <w:r>
        <w:rPr>
          <w:rFonts w:ascii="Arial" w:cs="Arial" w:eastAsia="Arial" w:hAnsi="Arial"/>
          <w:sz w:val="22"/>
          <w:szCs w:val="22"/>
        </w:rPr>
        <w:t xml:space="preserve">Implementation of feature-level XAI attribution, hash-chained blockchain audit ledger, and FedAvg federated learning across four agent clusters</w:t>
      </w:r>
    </w:p>
    <w:p>
      <w:pPr>
        <w:pStyle w:val="ListParagraph"/>
        <w:numPr>
          <w:ilvl w:val="0"/>
          <w:numId w:val="2"/>
        </w:numPr>
        <w:spacing w:after="100"/>
      </w:pPr>
      <w:r>
        <w:rPr>
          <w:rFonts w:ascii="Arial" w:cs="Arial" w:eastAsia="Arial" w:hAnsi="Arial"/>
          <w:sz w:val="22"/>
          <w:szCs w:val="22"/>
        </w:rPr>
        <w:t xml:space="preserve">Development of a 26-page operational dashboard with separate workspaces for experiment analytics and live SCADA monitoring</w:t>
      </w:r>
    </w:p>
    <w:p>
      <w:pPr>
        <w:pStyle w:val="ListParagraph"/>
        <w:numPr>
          <w:ilvl w:val="0"/>
          <w:numId w:val="2"/>
        </w:numPr>
        <w:spacing w:after="200"/>
      </w:pPr>
      <w:r>
        <w:rPr>
          <w:rFonts w:ascii="Arial" w:cs="Arial" w:eastAsia="Arial" w:hAnsi="Arial"/>
          <w:sz w:val="22"/>
          <w:szCs w:val="22"/>
        </w:rPr>
        <w:t xml:space="preserve">Quantitative evaluation at N=100, N=200, and N=500 over a 24-hour simulation horizon, compared against the base paper’s reported benchmarks</w:t>
      </w:r>
    </w:p>
    <w:p>
      <w:pPr>
        <w:pStyle w:val="Heading2"/>
        <w:spacing w:after="160" w:before="280"/>
      </w:pPr>
      <w:r>
        <w:rPr>
          <w:rFonts w:ascii="Arial" w:cs="Arial" w:eastAsia="Arial" w:hAnsi="Arial"/>
          <w:b/>
          <w:bCs/>
          <w:color w:val="2D5F8A"/>
          <w:sz w:val="26"/>
          <w:szCs w:val="26"/>
        </w:rPr>
        <w:t xml:space="preserve">Out of Scope</w:t>
      </w:r>
    </w:p>
    <w:p>
      <w:pPr>
        <w:pStyle w:val="ListParagraph"/>
        <w:numPr>
          <w:ilvl w:val="0"/>
          <w:numId w:val="3"/>
        </w:numPr>
        <w:spacing w:after="80"/>
      </w:pPr>
      <w:r>
        <w:rPr>
          <w:rFonts w:ascii="Arial" w:cs="Arial" w:eastAsia="Arial" w:hAnsi="Arial"/>
          <w:sz w:val="22"/>
          <w:szCs w:val="22"/>
        </w:rPr>
        <w:t xml:space="preserve">Physical PLC/RTU hardware integration</w:t>
      </w:r>
    </w:p>
    <w:p>
      <w:pPr>
        <w:pStyle w:val="ListParagraph"/>
        <w:numPr>
          <w:ilvl w:val="0"/>
          <w:numId w:val="3"/>
        </w:numPr>
        <w:spacing w:after="80"/>
      </w:pPr>
      <w:r>
        <w:rPr>
          <w:rFonts w:ascii="Arial" w:cs="Arial" w:eastAsia="Arial" w:hAnsi="Arial"/>
          <w:sz w:val="22"/>
          <w:szCs w:val="22"/>
        </w:rPr>
        <w:t xml:space="preserve">Real IDS/SIEM integration for cyber metric measurement</w:t>
      </w:r>
    </w:p>
    <w:p>
      <w:pPr>
        <w:pStyle w:val="ListParagraph"/>
        <w:numPr>
          <w:ilvl w:val="0"/>
          <w:numId w:val="3"/>
        </w:numPr>
        <w:spacing w:after="80"/>
      </w:pPr>
      <w:r>
        <w:rPr>
          <w:rFonts w:ascii="Arial" w:cs="Arial" w:eastAsia="Arial" w:hAnsi="Arial"/>
          <w:sz w:val="22"/>
          <w:szCs w:val="22"/>
        </w:rPr>
        <w:t xml:space="preserve">Deployment on physical power infrastructure</w:t>
      </w:r>
    </w:p>
    <w:p>
      <w:pPr>
        <w:pStyle w:val="ListParagraph"/>
        <w:numPr>
          <w:ilvl w:val="0"/>
          <w:numId w:val="3"/>
        </w:numPr>
        <w:spacing w:after="80"/>
      </w:pPr>
      <w:r>
        <w:rPr>
          <w:rFonts w:ascii="Arial" w:cs="Arial" w:eastAsia="Arial" w:hAnsi="Arial"/>
          <w:sz w:val="22"/>
          <w:szCs w:val="22"/>
        </w:rPr>
        <w:t xml:space="preserve">Production certification under NERC CIP or IEC 62443</w:t>
      </w:r>
    </w:p>
    <w:p>
      <w:pPr>
        <w:pStyle w:val="ListParagraph"/>
        <w:numPr>
          <w:ilvl w:val="0"/>
          <w:numId w:val="3"/>
        </w:numPr>
        <w:spacing w:after="200"/>
      </w:pPr>
      <w:r>
        <w:rPr>
          <w:rFonts w:ascii="Arial" w:cs="Arial" w:eastAsia="Arial" w:hAnsi="Arial"/>
          <w:sz w:val="22"/>
          <w:szCs w:val="22"/>
        </w:rPr>
        <w:t xml:space="preserve">Commercial licensing or productisation</w:t>
      </w:r>
    </w:p>
    <w:p>
      <w:r>
        <w:br w:type="page"/>
      </w:r>
    </w:p>
    <w:p>
      <w:pPr>
        <w:pStyle w:val="Heading1"/>
        <w:spacing w:after="200" w:before="360"/>
      </w:pPr>
      <w:r>
        <w:rPr>
          <w:rFonts w:ascii="Arial" w:cs="Arial" w:eastAsia="Arial" w:hAnsi="Arial"/>
          <w:b/>
          <w:bCs/>
          <w:color w:val="1B3A5C"/>
          <w:sz w:val="32"/>
          <w:szCs w:val="32"/>
        </w:rPr>
        <w:t xml:space="preserve">Existing Approaches and Gaps</w:t>
      </w:r>
    </w:p>
    <w:p>
      <w:pPr>
        <w:pStyle w:val="Heading2"/>
        <w:spacing w:after="160" w:before="280"/>
      </w:pPr>
      <w:r>
        <w:rPr>
          <w:rFonts w:ascii="Arial" w:cs="Arial" w:eastAsia="Arial" w:hAnsi="Arial"/>
          <w:b/>
          <w:bCs/>
          <w:color w:val="2D5F8A"/>
          <w:sz w:val="26"/>
          <w:szCs w:val="26"/>
        </w:rPr>
        <w:t xml:space="preserve">Approach 1: Static Threshold-Based Monitoring</w:t>
      </w:r>
    </w:p>
    <w:p>
      <w:pPr>
        <w:spacing w:after="140"/>
        <w:jc w:val="both"/>
      </w:pPr>
      <w:r>
        <w:rPr>
          <w:rFonts w:ascii="Arial" w:cs="Arial" w:eastAsia="Arial" w:hAnsi="Arial"/>
          <w:sz w:val="22"/>
          <w:szCs w:val="22"/>
        </w:rPr>
        <w:t xml:space="preserve">Monitors individual metrics (voltage, current, frequency) against fixed upper and lower bounds. Triggers an alert when any metric crosses its threshold. Used in early SCADA systems, many legacy utility deployments, and simple rule-based monitoring tools.</w:t>
      </w:r>
    </w:p>
    <w:p>
      <w:pPr>
        <w:spacing w:after="140"/>
        <w:jc w:val="both"/>
      </w:pPr>
      <w:r>
        <w:rPr>
          <w:rFonts w:ascii="Arial" w:cs="Arial" w:eastAsia="Arial" w:hAnsi="Arial"/>
          <w:b/>
          <w:bCs/>
          <w:sz w:val="22"/>
          <w:szCs w:val="22"/>
        </w:rPr>
        <w:t xml:space="preserve">Gap 1 — Single modality: </w:t>
      </w:r>
      <w:r>
        <w:rPr>
          <w:rFonts w:ascii="Arial" w:cs="Arial" w:eastAsia="Arial" w:hAnsi="Arial"/>
          <w:sz w:val="22"/>
          <w:szCs w:val="22"/>
        </w:rPr>
        <w:t xml:space="preserve">Threshold rules examine one feature at a time. A coordinated cyber-physical attack may keep each individual metric just inside its threshold while the combination of deviations across multiple features is clearly anomalous. The proposed deviation scoring examines all physical and cyber features simultaneously as a combined RMS deviation.</w:t>
      </w:r>
    </w:p>
    <w:p>
      <w:pPr>
        <w:spacing w:after="140"/>
        <w:jc w:val="both"/>
      </w:pPr>
      <w:r>
        <w:rPr>
          <w:rFonts w:ascii="Arial" w:cs="Arial" w:eastAsia="Arial" w:hAnsi="Arial"/>
          <w:b/>
          <w:bCs/>
          <w:sz w:val="22"/>
          <w:szCs w:val="22"/>
        </w:rPr>
        <w:t xml:space="preserve">Gap 2 — No adaptation: </w:t>
      </w:r>
      <w:r>
        <w:rPr>
          <w:rFonts w:ascii="Arial" w:cs="Arial" w:eastAsia="Arial" w:hAnsi="Arial"/>
          <w:sz w:val="22"/>
          <w:szCs w:val="22"/>
        </w:rPr>
        <w:t xml:space="preserve">Fixed thresholds cannot adapt to seasonal variation, load growth, or changing grid topology. The proposed per-agent-type profiles with EWMA baseline tracking adapt to operating conditions.</w:t>
      </w:r>
    </w:p>
    <w:p>
      <w:pPr>
        <w:spacing w:after="140"/>
        <w:jc w:val="both"/>
      </w:pPr>
      <w:r>
        <w:rPr>
          <w:rFonts w:ascii="Arial" w:cs="Arial" w:eastAsia="Arial" w:hAnsi="Arial"/>
          <w:b/>
          <w:bCs/>
          <w:sz w:val="22"/>
          <w:szCs w:val="22"/>
        </w:rPr>
        <w:t xml:space="preserve">Gap 3 — No audit intelligence: </w:t>
      </w:r>
      <w:r>
        <w:rPr>
          <w:rFonts w:ascii="Arial" w:cs="Arial" w:eastAsia="Arial" w:hAnsi="Arial"/>
          <w:sz w:val="22"/>
          <w:szCs w:val="22"/>
        </w:rPr>
        <w:t xml:space="preserve">Threshold rules generate alerts but have no mechanism for translating alert severity into audit resource allocation. The proposed Q-learning scheduler dynamically allocates audit frequency based on accumulated risk evidence.</w:t>
      </w:r>
    </w:p>
    <w:p>
      <w:pPr>
        <w:pStyle w:val="Heading2"/>
        <w:spacing w:after="160" w:before="280"/>
      </w:pPr>
      <w:r>
        <w:rPr>
          <w:rFonts w:ascii="Arial" w:cs="Arial" w:eastAsia="Arial" w:hAnsi="Arial"/>
          <w:b/>
          <w:bCs/>
          <w:color w:val="2D5F8A"/>
          <w:sz w:val="26"/>
          <w:szCs w:val="26"/>
        </w:rPr>
        <w:t xml:space="preserve">Approach 2: Pure Machine Learning Anomaly Detection (LSTM/Autoencoder)</w:t>
      </w:r>
    </w:p>
    <w:p>
      <w:pPr>
        <w:spacing w:after="140"/>
        <w:jc w:val="both"/>
      </w:pPr>
      <w:r>
        <w:rPr>
          <w:rFonts w:ascii="Arial" w:cs="Arial" w:eastAsia="Arial" w:hAnsi="Arial"/>
          <w:sz w:val="22"/>
          <w:szCs w:val="22"/>
        </w:rPr>
        <w:t xml:space="preserve">Trains an anomaly detection model on historical normal data and flags deviations from the learned normal distribution. Used in research papers on smart grid anomaly detection and some industrial IDS products.</w:t>
      </w:r>
    </w:p>
    <w:p>
      <w:pPr>
        <w:spacing w:after="140"/>
        <w:jc w:val="both"/>
      </w:pPr>
      <w:r>
        <w:rPr>
          <w:rFonts w:ascii="Arial" w:cs="Arial" w:eastAsia="Arial" w:hAnsi="Arial"/>
          <w:b/>
          <w:bCs/>
          <w:sz w:val="22"/>
          <w:szCs w:val="22"/>
        </w:rPr>
        <w:t xml:space="preserve">Gap 1 — Black-box decisions: </w:t>
      </w:r>
      <w:r>
        <w:rPr>
          <w:rFonts w:ascii="Arial" w:cs="Arial" w:eastAsia="Arial" w:hAnsi="Arial"/>
          <w:sz w:val="22"/>
          <w:szCs w:val="22"/>
        </w:rPr>
        <w:t xml:space="preserve">A pure neural network produces a score or flag but cannot explain which features contributed to the decision. The proposed XAI layer provides ranked feature contributions in an actionable form.</w:t>
      </w:r>
    </w:p>
    <w:p>
      <w:pPr>
        <w:spacing w:after="140"/>
        <w:jc w:val="both"/>
      </w:pPr>
      <w:r>
        <w:rPr>
          <w:rFonts w:ascii="Arial" w:cs="Arial" w:eastAsia="Arial" w:hAnsi="Arial"/>
          <w:b/>
          <w:bCs/>
          <w:sz w:val="22"/>
          <w:szCs w:val="22"/>
        </w:rPr>
        <w:t xml:space="preserve">Gap 2 — Class imbalance: </w:t>
      </w:r>
      <w:r>
        <w:rPr>
          <w:rFonts w:ascii="Arial" w:cs="Arial" w:eastAsia="Arial" w:hAnsi="Arial"/>
          <w:sz w:val="22"/>
          <w:szCs w:val="22"/>
        </w:rPr>
        <w:t xml:space="preserve">Training a naive LSTM on imbalanced data (1% attacks, 99% normal) produces a model that classifies everything as normal. The proposed training pipeline uses focal loss, oversampling, and cost-sensitive loss weighting.</w:t>
      </w:r>
    </w:p>
    <w:p>
      <w:pPr>
        <w:spacing w:after="140"/>
        <w:jc w:val="both"/>
      </w:pPr>
      <w:r>
        <w:rPr>
          <w:rFonts w:ascii="Arial" w:cs="Arial" w:eastAsia="Arial" w:hAnsi="Arial"/>
          <w:b/>
          <w:bCs/>
          <w:sz w:val="22"/>
          <w:szCs w:val="22"/>
        </w:rPr>
        <w:t xml:space="preserve">Gap 3 — No audit scheduling integration: </w:t>
      </w:r>
      <w:r>
        <w:rPr>
          <w:rFonts w:ascii="Arial" w:cs="Arial" w:eastAsia="Arial" w:hAnsi="Arial"/>
          <w:sz w:val="22"/>
          <w:szCs w:val="22"/>
        </w:rPr>
        <w:t xml:space="preserve">Detection and scheduling are treated as separate problems. The proposed hybrid scheduler directly integrates anomaly scores from the detection layer as inputs to the Q-learning state encoder.</w:t>
      </w:r>
    </w:p>
    <w:p>
      <w:pPr>
        <w:pStyle w:val="Heading2"/>
        <w:spacing w:after="160" w:before="280"/>
      </w:pPr>
      <w:r>
        <w:rPr>
          <w:rFonts w:ascii="Arial" w:cs="Arial" w:eastAsia="Arial" w:hAnsi="Arial"/>
          <w:b/>
          <w:bCs/>
          <w:color w:val="2D5F8A"/>
          <w:sz w:val="26"/>
          <w:szCs w:val="26"/>
        </w:rPr>
        <w:t xml:space="preserve">Approach 3: Rule-Based Audit Scheduling</w:t>
      </w:r>
    </w:p>
    <w:p>
      <w:pPr>
        <w:spacing w:after="140"/>
        <w:jc w:val="both"/>
      </w:pPr>
      <w:r>
        <w:rPr>
          <w:rFonts w:ascii="Arial" w:cs="Arial" w:eastAsia="Arial" w:hAnsi="Arial"/>
          <w:sz w:val="22"/>
          <w:szCs w:val="22"/>
        </w:rPr>
        <w:t xml:space="preserve">Either audits all assets on a fixed schedule (every K timesteps) or triggers an audit whenever a threshold alert is received. Used in standard utility operations and NERC CIP compliance programs.</w:t>
      </w:r>
    </w:p>
    <w:p>
      <w:pPr>
        <w:spacing w:after="140"/>
        <w:jc w:val="both"/>
      </w:pPr>
      <w:r>
        <w:rPr>
          <w:rFonts w:ascii="Arial" w:cs="Arial" w:eastAsia="Arial" w:hAnsi="Arial"/>
          <w:b/>
          <w:bCs/>
          <w:sz w:val="22"/>
          <w:szCs w:val="22"/>
        </w:rPr>
        <w:t xml:space="preserve">Gap 1 — Resource waste and blind spots: </w:t>
      </w:r>
      <w:r>
        <w:rPr>
          <w:rFonts w:ascii="Arial" w:cs="Arial" w:eastAsia="Arial" w:hAnsi="Arial"/>
          <w:sz w:val="22"/>
          <w:szCs w:val="22"/>
        </w:rPr>
        <w:t xml:space="preserve">Fixed periodic auditing assigns equal resources to all assets regardless of current risk. The proposed Q-learning scheduler concentrates resources on high-risk assets, achieving 12.27 pp higher cost efficiency.</w:t>
      </w:r>
    </w:p>
    <w:p>
      <w:pPr>
        <w:spacing w:after="140"/>
        <w:jc w:val="both"/>
      </w:pPr>
      <w:r>
        <w:rPr>
          <w:rFonts w:ascii="Arial" w:cs="Arial" w:eastAsia="Arial" w:hAnsi="Arial"/>
          <w:b/>
          <w:bCs/>
          <w:sz w:val="22"/>
          <w:szCs w:val="22"/>
        </w:rPr>
        <w:t xml:space="preserve">Gap 2 — Reactive, not predictive: </w:t>
      </w:r>
      <w:r>
        <w:rPr>
          <w:rFonts w:ascii="Arial" w:cs="Arial" w:eastAsia="Arial" w:hAnsi="Arial"/>
          <w:sz w:val="22"/>
          <w:szCs w:val="22"/>
        </w:rPr>
        <w:t xml:space="preserve">Event-driven auditing responds after an alert is raised. The Q-learning policy learns to increase audit frequency for assets showing early-stage risk accumulation, before threshold-level alerts are generated.</w:t>
      </w:r>
    </w:p>
    <w:p>
      <w:pPr>
        <w:spacing w:after="140"/>
        <w:jc w:val="both"/>
      </w:pPr>
      <w:r>
        <w:rPr>
          <w:rFonts w:ascii="Arial" w:cs="Arial" w:eastAsia="Arial" w:hAnsi="Arial"/>
          <w:b/>
          <w:bCs/>
          <w:sz w:val="22"/>
          <w:szCs w:val="22"/>
        </w:rPr>
        <w:t xml:space="preserve">Gap 3 — No formal cost optimisation: </w:t>
      </w:r>
      <w:r>
        <w:rPr>
          <w:rFonts w:ascii="Arial" w:cs="Arial" w:eastAsia="Arial" w:hAnsi="Arial"/>
          <w:sz w:val="22"/>
          <w:szCs w:val="22"/>
        </w:rPr>
        <w:t xml:space="preserve">Periodic and event-driven scheduling has no mechanism for optimising the trade-off between audit cost and risk mitigation. The proposed gradient descent refinement minimises the explicit audit cost function.</w:t>
      </w:r>
    </w:p>
    <w:p>
      <w:r>
        <w:br w:type="page"/>
      </w:r>
    </w:p>
    <w:p>
      <w:pPr>
        <w:pStyle w:val="Heading1"/>
        <w:spacing w:after="200" w:before="360"/>
      </w:pPr>
      <w:r>
        <w:rPr>
          <w:rFonts w:ascii="Arial" w:cs="Arial" w:eastAsia="Arial" w:hAnsi="Arial"/>
          <w:b/>
          <w:bCs/>
          <w:color w:val="1B3A5C"/>
          <w:sz w:val="32"/>
          <w:szCs w:val="32"/>
        </w:rPr>
        <w:t xml:space="preserve">Novelty and Innovativeness</w:t>
      </w:r>
    </w:p>
    <w:p>
      <w:pPr>
        <w:pStyle w:val="Heading2"/>
        <w:spacing w:after="160" w:before="280"/>
      </w:pPr>
      <w:r>
        <w:rPr>
          <w:rFonts w:ascii="Arial" w:cs="Arial" w:eastAsia="Arial" w:hAnsi="Arial"/>
          <w:b/>
          <w:bCs/>
          <w:color w:val="2D5F8A"/>
          <w:sz w:val="26"/>
          <w:szCs w:val="26"/>
        </w:rPr>
        <w:t xml:space="preserve">1. Three-Modality Voting Ensemble</w:t>
      </w:r>
    </w:p>
    <w:p>
      <w:pPr>
        <w:spacing w:after="140"/>
        <w:jc w:val="both"/>
      </w:pPr>
      <w:r>
        <w:rPr>
          <w:rFonts w:ascii="Arial" w:cs="Arial" w:eastAsia="Arial" w:hAnsi="Arial"/>
          <w:sz w:val="22"/>
          <w:szCs w:val="22"/>
        </w:rPr>
        <w:t xml:space="preserve">The combination of deviation scoring, dual-branch LSTM, and behavioral signature detection in a voting ensemble is novel. No prior work in smart-grid security audit combines all three modalities with the specific Tier-A false positive suppression mechanism. The ensemble reduces FPR from 3.2% to 0.24% while maintaining 100% recall.</w:t>
      </w:r>
    </w:p>
    <w:p>
      <w:pPr>
        <w:pStyle w:val="Heading2"/>
        <w:spacing w:after="160" w:before="280"/>
      </w:pPr>
      <w:r>
        <w:rPr>
          <w:rFonts w:ascii="Arial" w:cs="Arial" w:eastAsia="Arial" w:hAnsi="Arial"/>
          <w:b/>
          <w:bCs/>
          <w:color w:val="2D5F8A"/>
          <w:sz w:val="26"/>
          <w:szCs w:val="26"/>
        </w:rPr>
        <w:t xml:space="preserve">2. Per-Agent-Type Deviation Profiles</w:t>
      </w:r>
    </w:p>
    <w:p>
      <w:pPr>
        <w:spacing w:after="140"/>
        <w:jc w:val="both"/>
      </w:pPr>
      <w:r>
        <w:rPr>
          <w:rFonts w:ascii="Arial" w:cs="Arial" w:eastAsia="Arial" w:hAnsi="Arial"/>
          <w:sz w:val="22"/>
          <w:szCs w:val="22"/>
        </w:rPr>
        <w:t xml:space="preserve">The base paper uses a single shared profile for all agent types. This project uses separate baseline and threshold profiles for generators, substations, PMUs, and breakers, with approximately 80 environment-variable overrides.</w:t>
      </w:r>
    </w:p>
    <w:p>
      <w:pPr>
        <w:pStyle w:val="Heading2"/>
        <w:spacing w:after="160" w:before="280"/>
      </w:pPr>
      <w:r>
        <w:rPr>
          <w:rFonts w:ascii="Arial" w:cs="Arial" w:eastAsia="Arial" w:hAnsi="Arial"/>
          <w:b/>
          <w:bCs/>
          <w:color w:val="2D5F8A"/>
          <w:sz w:val="26"/>
          <w:szCs w:val="26"/>
        </w:rPr>
        <w:t xml:space="preserve">3. Hybrid Q-Learning and Gradient Descent Scheduler</w:t>
      </w:r>
    </w:p>
    <w:p>
      <w:pPr>
        <w:spacing w:after="140"/>
        <w:jc w:val="both"/>
      </w:pPr>
      <w:r>
        <w:rPr>
          <w:rFonts w:ascii="Arial" w:cs="Arial" w:eastAsia="Arial" w:hAnsi="Arial"/>
          <w:sz w:val="22"/>
          <w:szCs w:val="22"/>
        </w:rPr>
        <w:t xml:space="preserve">The combination of discrete Q-learning action selection with continuous gradient descent frequency refinement under explicit budget constraints is novel in the smart-grid audit scheduling literature.</w:t>
      </w:r>
    </w:p>
    <w:p>
      <w:pPr>
        <w:pStyle w:val="Heading2"/>
        <w:spacing w:after="160" w:before="280"/>
      </w:pPr>
      <w:r>
        <w:rPr>
          <w:rFonts w:ascii="Arial" w:cs="Arial" w:eastAsia="Arial" w:hAnsi="Arial"/>
          <w:b/>
          <w:bCs/>
          <w:color w:val="2D5F8A"/>
          <w:sz w:val="26"/>
          <w:szCs w:val="26"/>
        </w:rPr>
        <w:t xml:space="preserve">4. Tier-A False Positive Suppression</w:t>
      </w:r>
    </w:p>
    <w:p>
      <w:pPr>
        <w:spacing w:after="140"/>
        <w:jc w:val="both"/>
      </w:pPr>
      <w:r>
        <w:rPr>
          <w:rFonts w:ascii="Arial" w:cs="Arial" w:eastAsia="Arial" w:hAnsi="Arial"/>
          <w:sz w:val="22"/>
          <w:szCs w:val="22"/>
        </w:rPr>
        <w:t xml:space="preserve">The specific suppression logic — suppress only when score_ratio &lt; 3.5 AND no behavioral signature AND LSTM probability &lt; 0.3 — is a novel calibrated gate derived empirically through ablation testing.</w:t>
      </w:r>
    </w:p>
    <w:p>
      <w:pPr>
        <w:pStyle w:val="Heading2"/>
        <w:spacing w:after="160" w:before="280"/>
      </w:pPr>
      <w:r>
        <w:rPr>
          <w:rFonts w:ascii="Arial" w:cs="Arial" w:eastAsia="Arial" w:hAnsi="Arial"/>
          <w:b/>
          <w:bCs/>
          <w:color w:val="2D5F8A"/>
          <w:sz w:val="26"/>
          <w:szCs w:val="26"/>
        </w:rPr>
        <w:t xml:space="preserve">5. Live Rapid SCADA Integration</w:t>
      </w:r>
    </w:p>
    <w:p>
      <w:pPr>
        <w:spacing w:after="140"/>
        <w:jc w:val="both"/>
      </w:pPr>
      <w:r>
        <w:rPr>
          <w:rFonts w:ascii="Arial" w:cs="Arial" w:eastAsia="Arial" w:hAnsi="Arial"/>
          <w:sz w:val="22"/>
          <w:szCs w:val="22"/>
        </w:rPr>
        <w:t xml:space="preserve">The base paper has no SCADA integration. This project implements a complete end-to-end SCADA-to-AI pipeline: Rapid SCADA calculated channels → PowerShell bridge → FastAPI backend → Next.js dashboard.</w:t>
      </w:r>
    </w:p>
    <w:p>
      <w:pPr>
        <w:pStyle w:val="Heading2"/>
        <w:spacing w:after="160" w:before="280"/>
      </w:pPr>
      <w:r>
        <w:rPr>
          <w:rFonts w:ascii="Arial" w:cs="Arial" w:eastAsia="Arial" w:hAnsi="Arial"/>
          <w:b/>
          <w:bCs/>
          <w:color w:val="2D5F8A"/>
          <w:sz w:val="26"/>
          <w:szCs w:val="26"/>
        </w:rPr>
        <w:t xml:space="preserve">6. Cost-Adjusted Metrics</w:t>
      </w:r>
    </w:p>
    <w:p>
      <w:pPr>
        <w:spacing w:after="140"/>
        <w:jc w:val="both"/>
      </w:pPr>
      <w:r>
        <w:rPr>
          <w:rFonts w:ascii="Arial" w:cs="Arial" w:eastAsia="Arial" w:hAnsi="Arial"/>
          <w:sz w:val="22"/>
          <w:szCs w:val="22"/>
        </w:rPr>
        <w:t xml:space="preserve">Two new KPIs not present in the base paper: Cost-Adjusted Mitigation (risk-points cleared per unit audit spending) and Audits-Per-Mitigation-Point (audit dollars per 1 pp of risk mitigated).</w:t>
      </w:r>
    </w:p>
    <w:p>
      <w:pPr>
        <w:pStyle w:val="Heading2"/>
        <w:spacing w:after="160" w:before="280"/>
      </w:pPr>
      <w:r>
        <w:rPr>
          <w:rFonts w:ascii="Arial" w:cs="Arial" w:eastAsia="Arial" w:hAnsi="Arial"/>
          <w:b/>
          <w:bCs/>
          <w:color w:val="2D5F8A"/>
          <w:sz w:val="26"/>
          <w:szCs w:val="26"/>
        </w:rPr>
        <w:t xml:space="preserve">7. Blockchain Audit Ledger</w:t>
      </w:r>
    </w:p>
    <w:p>
      <w:pPr>
        <w:spacing w:after="140"/>
        <w:jc w:val="both"/>
      </w:pPr>
      <w:r>
        <w:rPr>
          <w:rFonts w:ascii="Arial" w:cs="Arial" w:eastAsia="Arial" w:hAnsi="Arial"/>
          <w:sz w:val="22"/>
          <w:szCs w:val="22"/>
        </w:rPr>
        <w:t xml:space="preserve">A hash-chain audit ledger that records every audit decision with a cryptographic link to the previous record. Tamper evidence is built-in.</w:t>
      </w:r>
    </w:p>
    <w:p>
      <w:pPr>
        <w:pStyle w:val="Heading2"/>
        <w:spacing w:after="160" w:before="280"/>
      </w:pPr>
      <w:r>
        <w:rPr>
          <w:rFonts w:ascii="Arial" w:cs="Arial" w:eastAsia="Arial" w:hAnsi="Arial"/>
          <w:b/>
          <w:bCs/>
          <w:color w:val="2D5F8A"/>
          <w:sz w:val="26"/>
          <w:szCs w:val="26"/>
        </w:rPr>
        <w:t xml:space="preserve">8. Federated Learning With FedAvg</w:t>
      </w:r>
    </w:p>
    <w:p>
      <w:pPr>
        <w:spacing w:after="140"/>
        <w:jc w:val="both"/>
      </w:pPr>
      <w:r>
        <w:rPr>
          <w:rFonts w:ascii="Arial" w:cs="Arial" w:eastAsia="Arial" w:hAnsi="Arial"/>
          <w:sz w:val="22"/>
          <w:szCs w:val="22"/>
        </w:rPr>
        <w:t xml:space="preserve">Privacy-preserving model aggregation across four heterogeneous agent clusters (GEN, SUB, PMU, BRK). Cross-domain pattern sharing without raw data sharing.</w:t>
      </w:r>
    </w:p>
    <w:p>
      <w:pPr>
        <w:pStyle w:val="Heading2"/>
        <w:spacing w:after="160" w:before="280"/>
      </w:pPr>
      <w:r>
        <w:rPr>
          <w:rFonts w:ascii="Arial" w:cs="Arial" w:eastAsia="Arial" w:hAnsi="Arial"/>
          <w:b/>
          <w:bCs/>
          <w:color w:val="2D5F8A"/>
          <w:sz w:val="26"/>
          <w:szCs w:val="26"/>
        </w:rPr>
        <w:t xml:space="preserve">9. Three-Layer Multi-Detector Architecture</w:t>
      </w:r>
    </w:p>
    <w:p>
      <w:pPr>
        <w:spacing w:after="140"/>
        <w:jc w:val="both"/>
      </w:pPr>
      <w:r>
        <w:rPr>
          <w:rFonts w:ascii="Arial" w:cs="Arial" w:eastAsia="Arial" w:hAnsi="Arial"/>
          <w:sz w:val="22"/>
          <w:szCs w:val="22"/>
        </w:rPr>
        <w:t xml:space="preserve">Beyond the modality ensemble, this project introduces a three-layer detection architecture targeting attacks invisible to single-threshold detectors:</w:t>
      </w:r>
    </w:p>
    <w:p>
      <w:pPr>
        <w:pStyle w:val="ListParagraph"/>
        <w:numPr>
          <w:ilvl w:val="0"/>
          <w:numId w:val="3"/>
        </w:numPr>
        <w:spacing w:after="80"/>
      </w:pPr>
      <w:r>
        <w:rPr>
          <w:rFonts w:ascii="Arial" w:cs="Arial" w:eastAsia="Arial" w:hAnsi="Arial"/>
          <w:b/>
          <w:bCs/>
          <w:sz w:val="22"/>
          <w:szCs w:val="22"/>
        </w:rPr>
        <w:t xml:space="preserve">Layer A — Calibrated LSTM threshold: </w:t>
      </w:r>
      <w:r>
        <w:rPr>
          <w:rFonts w:ascii="Arial" w:cs="Arial" w:eastAsia="Arial" w:hAnsi="Arial"/>
          <w:sz w:val="22"/>
          <w:szCs w:val="22"/>
        </w:rPr>
        <w:t xml:space="preserve">tuned thresholds (0.80 prob, 3.60 score) catch obvious single-step attacks</w:t>
      </w:r>
    </w:p>
    <w:p>
      <w:pPr>
        <w:pStyle w:val="ListParagraph"/>
        <w:numPr>
          <w:ilvl w:val="0"/>
          <w:numId w:val="3"/>
        </w:numPr>
        <w:spacing w:after="80"/>
      </w:pPr>
      <w:r>
        <w:rPr>
          <w:rFonts w:ascii="Arial" w:cs="Arial" w:eastAsia="Arial" w:hAnsi="Arial"/>
          <w:b/>
          <w:bCs/>
          <w:sz w:val="22"/>
          <w:szCs w:val="22"/>
        </w:rPr>
        <w:t xml:space="preserve">Layer B — Temporal accumulator: </w:t>
      </w:r>
      <w:r>
        <w:rPr>
          <w:rFonts w:ascii="Arial" w:cs="Arial" w:eastAsia="Arial" w:hAnsi="Arial"/>
          <w:sz w:val="22"/>
          <w:szCs w:val="22"/>
        </w:rPr>
        <w:t xml:space="preserve">flags agents whose LSTM probability stays at or above 0.55 for 5+ consecutive steps, exploiting the sustained nature of FDI and MITM</w:t>
      </w:r>
    </w:p>
    <w:p>
      <w:pPr>
        <w:pStyle w:val="ListParagraph"/>
        <w:numPr>
          <w:ilvl w:val="0"/>
          <w:numId w:val="3"/>
        </w:numPr>
        <w:spacing w:after="80"/>
      </w:pPr>
      <w:r>
        <w:rPr>
          <w:rFonts w:ascii="Arial" w:cs="Arial" w:eastAsia="Arial" w:hAnsi="Arial"/>
          <w:b/>
          <w:bCs/>
          <w:sz w:val="22"/>
          <w:szCs w:val="22"/>
        </w:rPr>
        <w:t xml:space="preserve">Layer C — Attack-type sub-detectors: </w:t>
      </w:r>
      <w:r>
        <w:rPr>
          <w:rFonts w:ascii="Arial" w:cs="Arial" w:eastAsia="Arial" w:hAnsi="Arial"/>
          <w:sz w:val="22"/>
          <w:szCs w:val="22"/>
        </w:rPr>
        <w:t xml:space="preserve">CUSUM two-sided drift test for FDI; 2-of-3 network-rule for DoS; integrity-plus-temporal-jump check for MITM</w:t>
      </w:r>
    </w:p>
    <w:p>
      <w:pPr>
        <w:spacing w:after="140"/>
        <w:jc w:val="both"/>
      </w:pPr>
      <w:r>
        <w:rPr>
          <w:rFonts w:ascii="Arial" w:cs="Arial" w:eastAsia="Arial" w:hAnsi="Arial"/>
          <w:sz w:val="22"/>
          <w:szCs w:val="22"/>
        </w:rPr>
        <w:t xml:space="preserve">Layers are combined via OR-with-precedence: any layer firing flags the agent, but type-specific labels (FDI/DOS/MITM) take precedence over the generic SUSTAINED label so downstream typing carries domain meaning.</w:t>
      </w:r>
    </w:p>
    <w:p>
      <w:r>
        <w:br w:type="page"/>
      </w:r>
    </w:p>
    <w:p>
      <w:pPr>
        <w:pStyle w:val="Heading1"/>
        <w:spacing w:after="200" w:before="360"/>
      </w:pPr>
      <w:r>
        <w:rPr>
          <w:rFonts w:ascii="Arial" w:cs="Arial" w:eastAsia="Arial" w:hAnsi="Arial"/>
          <w:b/>
          <w:bCs/>
          <w:color w:val="1B3A5C"/>
          <w:sz w:val="32"/>
          <w:szCs w:val="32"/>
        </w:rPr>
        <w:t xml:space="preserve">Proposed Method</w:t>
      </w:r>
    </w:p>
    <w:p>
      <w:pPr>
        <w:pStyle w:val="Heading2"/>
        <w:spacing w:after="160" w:before="280"/>
      </w:pPr>
      <w:r>
        <w:rPr>
          <w:rFonts w:ascii="Arial" w:cs="Arial" w:eastAsia="Arial" w:hAnsi="Arial"/>
          <w:b/>
          <w:bCs/>
          <w:color w:val="2D5F8A"/>
          <w:sz w:val="26"/>
          <w:szCs w:val="26"/>
        </w:rPr>
        <w:t xml:space="preserve">System Overview</w:t>
      </w:r>
    </w:p>
    <w:p>
      <w:pPr>
        <w:spacing w:after="140"/>
        <w:jc w:val="both"/>
      </w:pPr>
      <w:r>
        <w:rPr>
          <w:rFonts w:ascii="Arial" w:cs="Arial" w:eastAsia="Arial" w:hAnsi="Arial"/>
          <w:sz w:val="22"/>
          <w:szCs w:val="22"/>
        </w:rPr>
        <w:t xml:space="preserve">The proposed system operates in two modes: </w:t>
      </w:r>
      <w:r>
        <w:rPr>
          <w:rFonts w:ascii="Arial" w:cs="Arial" w:eastAsia="Arial" w:hAnsi="Arial"/>
          <w:b/>
          <w:bCs/>
          <w:sz w:val="22"/>
          <w:szCs w:val="22"/>
        </w:rPr>
        <w:t xml:space="preserve">experiment mode</w:t>
      </w:r>
      <w:r>
        <w:rPr>
          <w:rFonts w:ascii="Arial" w:cs="Arial" w:eastAsia="Arial" w:hAnsi="Arial"/>
          <w:sz w:val="22"/>
          <w:szCs w:val="22"/>
        </w:rPr>
        <w:t xml:space="preserve"> (simulation-driven evaluation) and </w:t>
      </w:r>
      <w:r>
        <w:rPr>
          <w:rFonts w:ascii="Arial" w:cs="Arial" w:eastAsia="Arial" w:hAnsi="Arial"/>
          <w:b/>
          <w:bCs/>
          <w:sz w:val="22"/>
          <w:szCs w:val="22"/>
        </w:rPr>
        <w:t xml:space="preserve">live mode</w:t>
      </w:r>
      <w:r>
        <w:rPr>
          <w:rFonts w:ascii="Arial" w:cs="Arial" w:eastAsia="Arial" w:hAnsi="Arial"/>
          <w:sz w:val="22"/>
          <w:szCs w:val="22"/>
        </w:rPr>
        <w:t xml:space="preserve"> (Rapid SCADA-driven operational monitoring).</w:t>
      </w:r>
    </w:p>
    <w:p>
      <w:pPr>
        <w:spacing w:after="140"/>
        <w:jc w:val="both"/>
      </w:pPr>
      <w:r>
        <w:rPr>
          <w:rFonts w:ascii="Arial" w:cs="Arial" w:eastAsia="Arial" w:hAnsi="Arial"/>
          <w:sz w:val="22"/>
          <w:szCs w:val="22"/>
        </w:rPr>
        <w:t xml:space="preserve">In experiment mode, synthetic attack scenarios (FDI, DoS, phase desynchronisation, breaker trip) are injected into simulated agent state trajectories. The detection and scheduling pipeline processes each timestep and produces metrics for comparison against the base paper.</w:t>
      </w:r>
    </w:p>
    <w:p>
      <w:pPr>
        <w:spacing w:after="140"/>
        <w:jc w:val="both"/>
      </w:pPr>
      <w:r>
        <w:rPr>
          <w:rFonts w:ascii="Arial" w:cs="Arial" w:eastAsia="Arial" w:hAnsi="Arial"/>
          <w:sz w:val="22"/>
          <w:szCs w:val="22"/>
        </w:rPr>
        <w:t xml:space="preserve">In live mode, Rapid SCADA provides current values for 100 agents. A PowerShell bridge polls the SCADA API every 5 seconds and posts a batch payload to the backend. The same detection and scheduling pipeline processes live data and updates the dashboard.</w:t>
      </w:r>
    </w:p>
    <w:p>
      <w:pPr>
        <w:pStyle w:val="Heading2"/>
        <w:spacing w:after="160" w:before="280"/>
      </w:pPr>
      <w:r>
        <w:rPr>
          <w:rFonts w:ascii="Arial" w:cs="Arial" w:eastAsia="Arial" w:hAnsi="Arial"/>
          <w:b/>
          <w:bCs/>
          <w:color w:val="2D5F8A"/>
          <w:sz w:val="26"/>
          <w:szCs w:val="26"/>
        </w:rPr>
        <w:t xml:space="preserve">Detection Pipeline</w:t>
      </w:r>
    </w:p>
    <w:p>
      <w:pPr>
        <w:spacing w:after="140"/>
        <w:jc w:val="both"/>
      </w:pPr>
      <w:r>
        <w:rPr>
          <w:rFonts w:ascii="Arial" w:cs="Arial" w:eastAsia="Arial" w:hAnsi="Arial"/>
          <w:b/>
          <w:bCs/>
          <w:sz w:val="22"/>
          <w:szCs w:val="22"/>
        </w:rPr>
        <w:t xml:space="preserve">Step 1: Tag normalisation. </w:t>
      </w:r>
      <w:r>
        <w:rPr>
          <w:rFonts w:ascii="Arial" w:cs="Arial" w:eastAsia="Arial" w:hAnsi="Arial"/>
          <w:sz w:val="22"/>
          <w:szCs w:val="22"/>
        </w:rPr>
        <w:t xml:space="preserve">Raw SCADA tags are normalised to engineering units and missing tags are derived (power from V×I×0.92, breaker_status from current &gt; 0.5A, latency from response_time if absent).</w:t>
      </w:r>
    </w:p>
    <w:p>
      <w:pPr>
        <w:spacing w:after="140"/>
        <w:jc w:val="both"/>
      </w:pPr>
      <w:r>
        <w:rPr>
          <w:rFonts w:ascii="Arial" w:cs="Arial" w:eastAsia="Arial" w:hAnsi="Arial"/>
          <w:b/>
          <w:bCs/>
          <w:sz w:val="22"/>
          <w:szCs w:val="22"/>
        </w:rPr>
        <w:t xml:space="preserve">Step 2: Feature vector construction. </w:t>
      </w:r>
      <w:r>
        <w:rPr>
          <w:rFonts w:ascii="Arial" w:cs="Arial" w:eastAsia="Arial" w:hAnsi="Arial"/>
          <w:sz w:val="22"/>
          <w:szCs w:val="22"/>
        </w:rPr>
        <w:t xml:space="preserve">Physical features (voltage, current, frequency, power, response_time) and cyber features (latency, packet_loss, integrity, comm_freq) are extracted using per-agent-type baseline profiles.</w:t>
      </w:r>
    </w:p>
    <w:p>
      <w:pPr>
        <w:spacing w:after="140"/>
        <w:jc w:val="both"/>
      </w:pPr>
      <w:r>
        <w:rPr>
          <w:rFonts w:ascii="Arial" w:cs="Arial" w:eastAsia="Arial" w:hAnsi="Arial"/>
          <w:b/>
          <w:bCs/>
          <w:sz w:val="22"/>
          <w:szCs w:val="22"/>
        </w:rPr>
        <w:t xml:space="preserve">Step 3: Deviation scoring. </w:t>
      </w:r>
      <w:r>
        <w:rPr>
          <w:rFonts w:ascii="Arial" w:cs="Arial" w:eastAsia="Arial" w:hAnsi="Arial"/>
          <w:sz w:val="22"/>
          <w:szCs w:val="22"/>
        </w:rPr>
        <w:t xml:space="preserve">Physical RMS deviation d</w:t>
      </w:r>
      <w:r>
        <w:rPr>
          <w:rFonts w:ascii="Arial" w:cs="Arial" w:eastAsia="Arial" w:hAnsi="Arial"/>
          <w:i/>
          <w:iCs/>
          <w:sz w:val="22"/>
          <w:szCs w:val="22"/>
        </w:rPr>
        <w:t xml:space="preserve">x</w:t>
      </w:r>
      <w:r>
        <w:rPr>
          <w:rFonts w:ascii="Arial" w:cs="Arial" w:eastAsia="Arial" w:hAnsi="Arial"/>
          <w:sz w:val="22"/>
          <w:szCs w:val="22"/>
        </w:rPr>
        <w:t xml:space="preserve"> and cyber RMS deviation d</w:t>
      </w:r>
      <w:r>
        <w:rPr>
          <w:rFonts w:ascii="Arial" w:cs="Arial" w:eastAsia="Arial" w:hAnsi="Arial"/>
          <w:i/>
          <w:iCs/>
          <w:sz w:val="22"/>
          <w:szCs w:val="22"/>
        </w:rPr>
        <w:t xml:space="preserve">y</w:t>
      </w:r>
      <w:r>
        <w:rPr>
          <w:rFonts w:ascii="Arial" w:cs="Arial" w:eastAsia="Arial" w:hAnsi="Arial"/>
          <w:sz w:val="22"/>
          <w:szCs w:val="22"/>
        </w:rPr>
        <w:t xml:space="preserve"> are computed. Anomaly score S</w:t>
      </w:r>
      <w:r>
        <w:rPr>
          <w:rFonts w:ascii="Arial" w:cs="Arial" w:eastAsia="Arial" w:hAnsi="Arial"/>
          <w:i/>
          <w:iCs/>
          <w:sz w:val="22"/>
          <w:szCs w:val="22"/>
        </w:rPr>
        <w:t xml:space="preserve">i</w:t>
      </w:r>
      <w:r>
        <w:rPr>
          <w:rFonts w:ascii="Arial" w:cs="Arial" w:eastAsia="Arial" w:hAnsi="Arial"/>
          <w:sz w:val="22"/>
          <w:szCs w:val="22"/>
        </w:rPr>
        <w:t xml:space="preserve"> = w</w:t>
      </w:r>
      <w:r>
        <w:rPr>
          <w:rFonts w:ascii="Arial" w:cs="Arial" w:eastAsia="Arial" w:hAnsi="Arial"/>
          <w:i/>
          <w:iCs/>
          <w:sz w:val="22"/>
          <w:szCs w:val="22"/>
        </w:rPr>
        <w:t xml:space="preserve">i</w:t>
      </w:r>
      <w:r>
        <w:rPr>
          <w:rFonts w:ascii="Arial" w:cs="Arial" w:eastAsia="Arial" w:hAnsi="Arial"/>
          <w:sz w:val="22"/>
          <w:szCs w:val="22"/>
        </w:rPr>
        <w:t xml:space="preserve"> × (d</w:t>
      </w:r>
      <w:r>
        <w:rPr>
          <w:rFonts w:ascii="Arial" w:cs="Arial" w:eastAsia="Arial" w:hAnsi="Arial"/>
          <w:i/>
          <w:iCs/>
          <w:sz w:val="22"/>
          <w:szCs w:val="22"/>
        </w:rPr>
        <w:t xml:space="preserve">x</w:t>
      </w:r>
      <w:r>
        <w:rPr>
          <w:rFonts w:ascii="Arial" w:cs="Arial" w:eastAsia="Arial" w:hAnsi="Arial"/>
          <w:sz w:val="22"/>
          <w:szCs w:val="22"/>
        </w:rPr>
        <w:t xml:space="preserve"> + d</w:t>
      </w:r>
      <w:r>
        <w:rPr>
          <w:rFonts w:ascii="Arial" w:cs="Arial" w:eastAsia="Arial" w:hAnsi="Arial"/>
          <w:i/>
          <w:iCs/>
          <w:sz w:val="22"/>
          <w:szCs w:val="22"/>
        </w:rPr>
        <w:t xml:space="preserve">y</w:t>
      </w:r>
      <w:r>
        <w:rPr>
          <w:rFonts w:ascii="Arial" w:cs="Arial" w:eastAsia="Arial" w:hAnsi="Arial"/>
          <w:sz w:val="22"/>
          <w:szCs w:val="22"/>
        </w:rPr>
        <w:t xml:space="preserve">).</w:t>
      </w:r>
    </w:p>
    <w:p>
      <w:pPr>
        <w:spacing w:after="140"/>
        <w:jc w:val="both"/>
      </w:pPr>
      <w:r>
        <w:rPr>
          <w:rFonts w:ascii="Arial" w:cs="Arial" w:eastAsia="Arial" w:hAnsi="Arial"/>
          <w:b/>
          <w:bCs/>
          <w:sz w:val="22"/>
          <w:szCs w:val="22"/>
        </w:rPr>
        <w:t xml:space="preserve">Step 4: LSTM inference. </w:t>
      </w:r>
      <w:r>
        <w:rPr>
          <w:rFonts w:ascii="Arial" w:cs="Arial" w:eastAsia="Arial" w:hAnsi="Arial"/>
          <w:sz w:val="22"/>
          <w:szCs w:val="22"/>
        </w:rPr>
        <w:t xml:space="preserve">If a trained checkpoint is available, the last 24-timestep window is fed to the dual-branch LSTM. Calibrated anomaly probability p</w:t>
      </w:r>
      <w:r>
        <w:rPr>
          <w:rFonts w:ascii="Arial" w:cs="Arial" w:eastAsia="Arial" w:hAnsi="Arial"/>
          <w:i/>
          <w:iCs/>
          <w:sz w:val="22"/>
          <w:szCs w:val="22"/>
        </w:rPr>
        <w:t xml:space="preserve">i</w:t>
      </w:r>
      <w:r>
        <w:rPr>
          <w:rFonts w:ascii="Arial" w:cs="Arial" w:eastAsia="Arial" w:hAnsi="Arial"/>
          <w:sz w:val="22"/>
          <w:szCs w:val="22"/>
        </w:rPr>
        <w:t xml:space="preserve"> is produced.</w:t>
      </w:r>
    </w:p>
    <w:p>
      <w:pPr>
        <w:spacing w:after="140"/>
        <w:jc w:val="both"/>
      </w:pPr>
      <w:r>
        <w:rPr>
          <w:rFonts w:ascii="Arial" w:cs="Arial" w:eastAsia="Arial" w:hAnsi="Arial"/>
          <w:b/>
          <w:bCs/>
          <w:sz w:val="22"/>
          <w:szCs w:val="22"/>
        </w:rPr>
        <w:t xml:space="preserve">Step 5: Behavioral signature detection. </w:t>
      </w:r>
      <w:r>
        <w:rPr>
          <w:rFonts w:ascii="Arial" w:cs="Arial" w:eastAsia="Arial" w:hAnsi="Arial"/>
          <w:sz w:val="22"/>
          <w:szCs w:val="22"/>
        </w:rPr>
        <w:t xml:space="preserve">The last 10 timestep scores are analysed for step changes, ramp drift, and oscillation patterns.</w:t>
      </w:r>
    </w:p>
    <w:p>
      <w:pPr>
        <w:spacing w:after="140"/>
        <w:jc w:val="both"/>
      </w:pPr>
      <w:r>
        <w:rPr>
          <w:rFonts w:ascii="Arial" w:cs="Arial" w:eastAsia="Arial" w:hAnsi="Arial"/>
          <w:b/>
          <w:bCs/>
          <w:sz w:val="22"/>
          <w:szCs w:val="22"/>
        </w:rPr>
        <w:t xml:space="preserve">Step 6: Voting and suppression (Layer A). </w:t>
      </w:r>
      <w:r>
        <w:rPr>
          <w:rFonts w:ascii="Arial" w:cs="Arial" w:eastAsia="Arial" w:hAnsi="Arial"/>
          <w:sz w:val="22"/>
          <w:szCs w:val="22"/>
        </w:rPr>
        <w:t xml:space="preserve">Three modalities vote. Tier-A suppression removes FPs where score_ratio &lt; 3.5 AND no signature AND p</w:t>
      </w:r>
      <w:r>
        <w:rPr>
          <w:rFonts w:ascii="Arial" w:cs="Arial" w:eastAsia="Arial" w:hAnsi="Arial"/>
          <w:i/>
          <w:iCs/>
          <w:sz w:val="22"/>
          <w:szCs w:val="22"/>
        </w:rPr>
        <w:t xml:space="preserve">i</w:t>
      </w:r>
      <w:r>
        <w:rPr>
          <w:rFonts w:ascii="Arial" w:cs="Arial" w:eastAsia="Arial" w:hAnsi="Arial"/>
          <w:sz w:val="22"/>
          <w:szCs w:val="22"/>
        </w:rPr>
        <w:t xml:space="preserve"> &lt; 0.3.</w:t>
      </w:r>
    </w:p>
    <w:p>
      <w:pPr>
        <w:spacing w:after="140"/>
        <w:jc w:val="both"/>
      </w:pPr>
      <w:r>
        <w:rPr>
          <w:rFonts w:ascii="Arial" w:cs="Arial" w:eastAsia="Arial" w:hAnsi="Arial"/>
          <w:b/>
          <w:bCs/>
          <w:sz w:val="22"/>
          <w:szCs w:val="22"/>
        </w:rPr>
        <w:t xml:space="preserve">Step 7: Multi-layer detection (Layers B and C). </w:t>
      </w:r>
      <w:r>
        <w:rPr>
          <w:rFonts w:ascii="Arial" w:cs="Arial" w:eastAsia="Arial" w:hAnsi="Arial"/>
          <w:sz w:val="22"/>
          <w:szCs w:val="22"/>
        </w:rPr>
        <w:t xml:space="preserve">If Layer A did not flag the agent, the multi-layer module evaluates sustained suspicion (Layer B), CUSUM drift (C-1), DoS network rule (C-2), and integrity + jump check (C-3). Layer outputs are combined OR-with-precedence.</w:t>
      </w:r>
    </w:p>
    <w:p>
      <w:pPr>
        <w:spacing w:after="140"/>
        <w:jc w:val="both"/>
      </w:pPr>
      <w:r>
        <w:rPr>
          <w:rFonts w:ascii="Arial" w:cs="Arial" w:eastAsia="Arial" w:hAnsi="Arial"/>
          <w:b/>
          <w:bCs/>
          <w:sz w:val="22"/>
          <w:szCs w:val="22"/>
        </w:rPr>
        <w:t xml:space="preserve">Step 8: XAI. </w:t>
      </w:r>
      <w:r>
        <w:rPr>
          <w:rFonts w:ascii="Arial" w:cs="Arial" w:eastAsia="Arial" w:hAnsi="Arial"/>
          <w:sz w:val="22"/>
          <w:szCs w:val="22"/>
        </w:rPr>
        <w:t xml:space="preserve">Feature contributions are ranked and formatted as percentage attributions, augmented with multilayer_label, multilayer_confidence, and multilayer_reason metadata.</w:t>
      </w:r>
    </w:p>
    <w:p>
      <w:pPr>
        <w:pStyle w:val="Heading2"/>
        <w:spacing w:after="160" w:before="280"/>
      </w:pPr>
      <w:r>
        <w:rPr>
          <w:rFonts w:ascii="Arial" w:cs="Arial" w:eastAsia="Arial" w:hAnsi="Arial"/>
          <w:b/>
          <w:bCs/>
          <w:color w:val="2D5F8A"/>
          <w:sz w:val="26"/>
          <w:szCs w:val="26"/>
        </w:rPr>
        <w:t xml:space="preserve">Scheduling Pipeline</w:t>
      </w:r>
    </w:p>
    <w:p>
      <w:pPr>
        <w:spacing w:after="140"/>
        <w:jc w:val="both"/>
      </w:pPr>
      <w:r>
        <w:rPr>
          <w:rFonts w:ascii="Arial" w:cs="Arial" w:eastAsia="Arial" w:hAnsi="Arial"/>
          <w:b/>
          <w:bCs/>
          <w:sz w:val="22"/>
          <w:szCs w:val="22"/>
        </w:rPr>
        <w:t xml:space="preserve">Step 1: </w:t>
      </w:r>
      <w:r>
        <w:rPr>
          <w:rFonts w:ascii="Arial" w:cs="Arial" w:eastAsia="Arial" w:hAnsi="Arial"/>
          <w:sz w:val="22"/>
          <w:szCs w:val="22"/>
        </w:rPr>
        <w:t xml:space="preserve">State encoding. Per-agent state (anomaly_score_bin, risk_bin, audit_count_bin) is encoded as a Q-table index.</w:t>
      </w:r>
    </w:p>
    <w:p>
      <w:pPr>
        <w:spacing w:after="140"/>
        <w:jc w:val="both"/>
      </w:pPr>
      <w:r>
        <w:rPr>
          <w:rFonts w:ascii="Arial" w:cs="Arial" w:eastAsia="Arial" w:hAnsi="Arial"/>
          <w:b/>
          <w:bCs/>
          <w:sz w:val="22"/>
          <w:szCs w:val="22"/>
        </w:rPr>
        <w:t xml:space="preserve">Step 2: </w:t>
      </w:r>
      <w:r>
        <w:rPr>
          <w:rFonts w:ascii="Arial" w:cs="Arial" w:eastAsia="Arial" w:hAnsi="Arial"/>
          <w:sz w:val="22"/>
          <w:szCs w:val="22"/>
        </w:rPr>
        <w:t xml:space="preserve">Q-learning action selection. ε-greedy policy selects INCREASE/DECREASE/HOLD.</w:t>
      </w:r>
    </w:p>
    <w:p>
      <w:pPr>
        <w:spacing w:after="140"/>
        <w:jc w:val="both"/>
      </w:pPr>
      <w:r>
        <w:rPr>
          <w:rFonts w:ascii="Arial" w:cs="Arial" w:eastAsia="Arial" w:hAnsi="Arial"/>
          <w:b/>
          <w:bCs/>
          <w:sz w:val="22"/>
          <w:szCs w:val="22"/>
        </w:rPr>
        <w:t xml:space="preserve">Step 3: </w:t>
      </w:r>
      <w:r>
        <w:rPr>
          <w:rFonts w:ascii="Arial" w:cs="Arial" w:eastAsia="Arial" w:hAnsi="Arial"/>
          <w:sz w:val="22"/>
          <w:szCs w:val="22"/>
        </w:rPr>
        <w:t xml:space="preserve">Frequency update. Audit frequency is adjusted in the selected direction.</w:t>
      </w:r>
    </w:p>
    <w:p>
      <w:pPr>
        <w:spacing w:after="140"/>
        <w:jc w:val="both"/>
      </w:pPr>
      <w:r>
        <w:rPr>
          <w:rFonts w:ascii="Arial" w:cs="Arial" w:eastAsia="Arial" w:hAnsi="Arial"/>
          <w:b/>
          <w:bCs/>
          <w:sz w:val="22"/>
          <w:szCs w:val="22"/>
        </w:rPr>
        <w:t xml:space="preserve">Step 4: </w:t>
      </w:r>
      <w:r>
        <w:rPr>
          <w:rFonts w:ascii="Arial" w:cs="Arial" w:eastAsia="Arial" w:hAnsi="Arial"/>
          <w:sz w:val="22"/>
          <w:szCs w:val="22"/>
        </w:rPr>
        <w:t xml:space="preserve">Gradient refinement. One gradient descent step minimises the audit cost function.</w:t>
      </w:r>
    </w:p>
    <w:p>
      <w:pPr>
        <w:spacing w:after="140"/>
        <w:jc w:val="both"/>
      </w:pPr>
      <w:r>
        <w:rPr>
          <w:rFonts w:ascii="Arial" w:cs="Arial" w:eastAsia="Arial" w:hAnsi="Arial"/>
          <w:b/>
          <w:bCs/>
          <w:sz w:val="22"/>
          <w:szCs w:val="22"/>
        </w:rPr>
        <w:t xml:space="preserve">Step 5: </w:t>
      </w:r>
      <w:r>
        <w:rPr>
          <w:rFonts w:ascii="Arial" w:cs="Arial" w:eastAsia="Arial" w:hAnsi="Arial"/>
          <w:sz w:val="22"/>
          <w:szCs w:val="22"/>
        </w:rPr>
        <w:t xml:space="preserve">Constraint enforcement. Frequencies are clipped to [f_min, f_max] and the global allocation is rescaled to the budget if needed.</w:t>
      </w:r>
    </w:p>
    <w:p>
      <w:pPr>
        <w:pStyle w:val="Heading2"/>
        <w:spacing w:after="160" w:before="280"/>
      </w:pPr>
      <w:r>
        <w:rPr>
          <w:rFonts w:ascii="Arial" w:cs="Arial" w:eastAsia="Arial" w:hAnsi="Arial"/>
          <w:b/>
          <w:bCs/>
          <w:color w:val="2D5F8A"/>
          <w:sz w:val="26"/>
          <w:szCs w:val="26"/>
        </w:rPr>
        <w:t xml:space="preserve">Blockchain Logging</w:t>
      </w:r>
    </w:p>
    <w:p>
      <w:pPr>
        <w:spacing w:after="140"/>
        <w:jc w:val="both"/>
      </w:pPr>
      <w:r>
        <w:rPr>
          <w:rFonts w:ascii="Arial" w:cs="Arial" w:eastAsia="Arial" w:hAnsi="Arial"/>
          <w:sz w:val="22"/>
          <w:szCs w:val="22"/>
        </w:rPr>
        <w:t xml:space="preserve">Each audit event produces a hash entry: SHA256(prev_hash + event_content). The full chain can be verified at any time by re-computing all hashes and checking each link.</w:t>
      </w:r>
    </w:p>
    <w:p>
      <w:pPr>
        <w:pStyle w:val="Heading2"/>
        <w:spacing w:after="160" w:before="280"/>
      </w:pPr>
      <w:r>
        <w:rPr>
          <w:rFonts w:ascii="Arial" w:cs="Arial" w:eastAsia="Arial" w:hAnsi="Arial"/>
          <w:b/>
          <w:bCs/>
          <w:color w:val="2D5F8A"/>
          <w:sz w:val="26"/>
          <w:szCs w:val="26"/>
        </w:rPr>
        <w:t xml:space="preserve">Federated Aggregation</w:t>
      </w:r>
    </w:p>
    <w:p>
      <w:pPr>
        <w:spacing w:after="140"/>
        <w:jc w:val="both"/>
      </w:pPr>
      <w:r>
        <w:rPr>
          <w:rFonts w:ascii="Arial" w:cs="Arial" w:eastAsia="Arial" w:hAnsi="Arial"/>
          <w:sz w:val="22"/>
          <w:szCs w:val="22"/>
        </w:rPr>
        <w:t xml:space="preserve">Every K rounds, each cluster computes local model weight updates. The coordinator aggregates: global = Σ(n</w:t>
      </w:r>
      <w:r>
        <w:rPr>
          <w:rFonts w:ascii="Arial" w:cs="Arial" w:eastAsia="Arial" w:hAnsi="Arial"/>
          <w:i/>
          <w:iCs/>
          <w:sz w:val="22"/>
          <w:szCs w:val="22"/>
        </w:rPr>
        <w:t xml:space="preserve">k</w:t>
      </w:r>
      <w:r>
        <w:rPr>
          <w:rFonts w:ascii="Arial" w:cs="Arial" w:eastAsia="Arial" w:hAnsi="Arial"/>
          <w:sz w:val="22"/>
          <w:szCs w:val="22"/>
        </w:rPr>
        <w:t xml:space="preserve">/N × local</w:t>
      </w:r>
      <w:r>
        <w:rPr>
          <w:rFonts w:ascii="Arial" w:cs="Arial" w:eastAsia="Arial" w:hAnsi="Arial"/>
          <w:i/>
          <w:iCs/>
          <w:sz w:val="22"/>
          <w:szCs w:val="22"/>
        </w:rPr>
        <w:t xml:space="preserve">k</w:t>
      </w:r>
      <w:r>
        <w:rPr>
          <w:rFonts w:ascii="Arial" w:cs="Arial" w:eastAsia="Arial" w:hAnsi="Arial"/>
          <w:sz w:val="22"/>
          <w:szCs w:val="22"/>
        </w:rPr>
        <w:t xml:space="preserve">). The global model is broadcast to all clusters for the next round.</w:t>
      </w:r>
    </w:p>
    <w:p>
      <w:r>
        <w:br w:type="page"/>
      </w:r>
    </w:p>
    <w:p>
      <w:pPr>
        <w:pStyle w:val="Heading1"/>
        <w:spacing w:after="200" w:before="360"/>
      </w:pPr>
      <w:r>
        <w:rPr>
          <w:rFonts w:ascii="Arial" w:cs="Arial" w:eastAsia="Arial" w:hAnsi="Arial"/>
          <w:b/>
          <w:bCs/>
          <w:color w:val="1B3A5C"/>
          <w:sz w:val="32"/>
          <w:szCs w:val="32"/>
        </w:rPr>
        <w:t xml:space="preserve">Implementation and Results</w:t>
      </w:r>
    </w:p>
    <w:p>
      <w:pPr>
        <w:pStyle w:val="Heading2"/>
        <w:spacing w:after="160" w:before="280"/>
      </w:pPr>
      <w:r>
        <w:rPr>
          <w:rFonts w:ascii="Arial" w:cs="Arial" w:eastAsia="Arial" w:hAnsi="Arial"/>
          <w:b/>
          <w:bCs/>
          <w:color w:val="2D5F8A"/>
          <w:sz w:val="26"/>
          <w:szCs w:val="26"/>
        </w:rPr>
        <w:t xml:space="preserve">Implementation</w:t>
      </w:r>
    </w:p>
    <w:p>
      <w:pPr>
        <w:spacing w:after="140"/>
        <w:jc w:val="both"/>
      </w:pPr>
      <w:r>
        <w:rPr>
          <w:rFonts w:ascii="Arial" w:cs="Arial" w:eastAsia="Arial" w:hAnsi="Arial"/>
          <w:b/>
          <w:bCs/>
          <w:sz w:val="22"/>
          <w:szCs w:val="22"/>
        </w:rPr>
        <w:t xml:space="preserve">Backend: </w:t>
      </w:r>
      <w:r>
        <w:rPr>
          <w:rFonts w:ascii="Arial" w:cs="Arial" w:eastAsia="Arial" w:hAnsi="Arial"/>
          <w:sz w:val="22"/>
          <w:szCs w:val="22"/>
        </w:rPr>
        <w:t xml:space="preserve">FastAPI (Python 3.10), PyTorch 2.x, NumPy, scikit-learn, SQLite. Deployed locally on port 8000.</w:t>
      </w:r>
    </w:p>
    <w:p>
      <w:pPr>
        <w:spacing w:after="140"/>
        <w:jc w:val="both"/>
      </w:pPr>
      <w:r>
        <w:rPr>
          <w:rFonts w:ascii="Arial" w:cs="Arial" w:eastAsia="Arial" w:hAnsi="Arial"/>
          <w:b/>
          <w:bCs/>
          <w:sz w:val="22"/>
          <w:szCs w:val="22"/>
        </w:rPr>
        <w:t xml:space="preserve">Frontend: </w:t>
      </w:r>
      <w:r>
        <w:rPr>
          <w:rFonts w:ascii="Arial" w:cs="Arial" w:eastAsia="Arial" w:hAnsi="Arial"/>
          <w:sz w:val="22"/>
          <w:szCs w:val="22"/>
        </w:rPr>
        <w:t xml:space="preserve">Next.js 14 (App Router), TypeScript, Tailwind CSS, Recharts, Lucide Icons. Deployed locally on port 3000.</w:t>
      </w:r>
    </w:p>
    <w:p>
      <w:pPr>
        <w:spacing w:after="140"/>
        <w:jc w:val="both"/>
      </w:pPr>
      <w:r>
        <w:rPr>
          <w:rFonts w:ascii="Arial" w:cs="Arial" w:eastAsia="Arial" w:hAnsi="Arial"/>
          <w:b/>
          <w:bCs/>
          <w:sz w:val="22"/>
          <w:szCs w:val="22"/>
        </w:rPr>
        <w:t xml:space="preserve">SCADA: </w:t>
      </w:r>
      <w:r>
        <w:rPr>
          <w:rFonts w:ascii="Arial" w:cs="Arial" w:eastAsia="Arial" w:hAnsi="Arial"/>
          <w:sz w:val="22"/>
          <w:szCs w:val="22"/>
        </w:rPr>
        <w:t xml:space="preserve">Rapid SCADA Webstation on port 10109, 670 configured channels (300 base + 370 cyber addon). PowerShell bridge (830 lines) for polling and ingest.</w:t>
      </w:r>
    </w:p>
    <w:p>
      <w:pPr>
        <w:spacing w:after="140"/>
        <w:jc w:val="both"/>
      </w:pPr>
      <w:r>
        <w:rPr>
          <w:rFonts w:ascii="Arial" w:cs="Arial" w:eastAsia="Arial" w:hAnsi="Arial"/>
          <w:b/>
          <w:bCs/>
          <w:sz w:val="22"/>
          <w:szCs w:val="22"/>
        </w:rPr>
        <w:t xml:space="preserve">Testing: </w:t>
      </w:r>
      <w:r>
        <w:rPr>
          <w:rFonts w:ascii="Arial" w:cs="Arial" w:eastAsia="Arial" w:hAnsi="Arial"/>
          <w:sz w:val="22"/>
          <w:szCs w:val="22"/>
        </w:rPr>
        <w:t xml:space="preserve">pytest test suite (13 test files, 89 test cases), Playwright end-to-end tests, TypeScript strict type checking.</w:t>
      </w:r>
    </w:p>
    <w:p>
      <w:pPr>
        <w:pStyle w:val="Heading2"/>
        <w:spacing w:after="160" w:before="280"/>
      </w:pPr>
      <w:r>
        <w:rPr>
          <w:rFonts w:ascii="Arial" w:cs="Arial" w:eastAsia="Arial" w:hAnsi="Arial"/>
          <w:b/>
          <w:bCs/>
          <w:color w:val="2D5F8A"/>
          <w:sz w:val="26"/>
          <w:szCs w:val="26"/>
        </w:rPr>
        <w:t xml:space="preserve">Primary Benchmark Results (N=100, 24-hour cycle, 10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This Project</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Base Paper</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Improvement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Detection Accuracy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99.76% ± 0.03%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98.4%</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+1.36 pp</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False Positive Rate</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0.24% ± 0.02%</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3.2%</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−2.96 pp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Risk Mitigation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95.93% ± 0.4%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87.9%</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+8.03 pp</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Cost Efficiency</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54.77% ± 1.2%</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42.5%</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+12.27 pp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Audit Coverage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100%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93.8%</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+6.2 pp</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Recall</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100%</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not reported</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w:t>
            </w:r>
          </w:p>
        </w:tc>
      </w:tr>
    </w:tbl>
    <w:p>
      <w:pPr>
        <w:spacing w:before="200"/>
      </w:pPr>
    </w:p>
    <w:p>
      <w:pPr>
        <w:pStyle w:val="Heading2"/>
        <w:spacing w:after="160" w:before="280"/>
      </w:pPr>
      <w:r>
        <w:rPr>
          <w:rFonts w:ascii="Arial" w:cs="Arial" w:eastAsia="Arial" w:hAnsi="Arial"/>
          <w:b/>
          <w:bCs/>
          <w:color w:val="2D5F8A"/>
          <w:sz w:val="26"/>
          <w:szCs w:val="26"/>
        </w:rPr>
        <w:t xml:space="preserve">Multi-Scale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Scale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Accuracy</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Mitigation</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Efficiency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99.76%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95.93%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54.77%</w:t>
            </w:r>
          </w:p>
        </w:tc>
      </w:tr>
      <w:tr>
        <w:tc>
          <w:tcPr>
            <w:tcW w:type="dxa" w:w="234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N=200</w:t>
            </w:r>
          </w:p>
        </w:tc>
        <w:tc>
          <w:tcPr>
            <w:tcW w:type="dxa" w:w="234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99.01%</w:t>
            </w:r>
          </w:p>
        </w:tc>
        <w:tc>
          <w:tcPr>
            <w:tcW w:type="dxa" w:w="234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96.65%</w:t>
            </w:r>
          </w:p>
        </w:tc>
        <w:tc>
          <w:tcPr>
            <w:tcW w:type="dxa" w:w="234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49.22%</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N=500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99.08%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82.36%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73.19%</w:t>
            </w:r>
          </w:p>
        </w:tc>
      </w:tr>
    </w:tbl>
    <w:p>
      <w:pPr>
        <w:spacing w:before="200"/>
      </w:pPr>
    </w:p>
    <w:p>
      <w:pPr>
        <w:pStyle w:val="Heading2"/>
        <w:spacing w:after="160" w:before="280"/>
      </w:pPr>
      <w:r>
        <w:rPr>
          <w:rFonts w:ascii="Arial" w:cs="Arial" w:eastAsia="Arial" w:hAnsi="Arial"/>
          <w:b/>
          <w:bCs/>
          <w:color w:val="2D5F8A"/>
          <w:sz w:val="26"/>
          <w:szCs w:val="26"/>
        </w:rPr>
        <w:t xml:space="preserve">Comparative Study With Baseline Methods</w:t>
      </w:r>
    </w:p>
    <w:p>
      <w:pPr>
        <w:spacing w:after="140"/>
        <w:jc w:val="both"/>
      </w:pPr>
      <w:r>
        <w:rPr>
          <w:rFonts w:ascii="Arial" w:cs="Arial" w:eastAsia="Arial" w:hAnsi="Arial"/>
          <w:sz w:val="22"/>
          <w:szCs w:val="22"/>
        </w:rPr>
        <w:t xml:space="preserve">Five detection methods were evaluated on the same simulation data (100 agents, 288 timesteps, seed=42). Score-based methods received optimal thresholds via post-hoc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159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Accuracy</w:t>
            </w:r>
          </w:p>
        </w:tc>
        <w:tc>
          <w:tcPr>
            <w:tcW w:type="dxa" w:w="159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FPR</w:t>
            </w:r>
          </w:p>
        </w:tc>
        <w:tc>
          <w:tcPr>
            <w:tcW w:type="dxa" w:w="159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Recall</w:t>
            </w:r>
          </w:p>
        </w:tc>
        <w:tc>
          <w:tcPr>
            <w:tcW w:type="dxa" w:w="159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Deviation-Only</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81.40%</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9.06%</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36.89%</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41.18%</w:t>
            </w:r>
          </w:p>
        </w:tc>
      </w:tr>
      <w:tr>
        <w:tc>
          <w:tcPr>
            <w:tcW w:type="dxa" w:w="3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LSTM-Only</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86.35%</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0.00%</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22.67%</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36.96%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Isolation Forest</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68.85%</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27.95%</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53.92%</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37.92%</w:t>
            </w:r>
          </w:p>
        </w:tc>
      </w:tr>
      <w:tr>
        <w:tc>
          <w:tcPr>
            <w:tcW w:type="dxa" w:w="3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One-Class SVM</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46.35%</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59.99%</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75.93%</w:t>
            </w:r>
          </w:p>
        </w:tc>
        <w:tc>
          <w:tcPr>
            <w:tcW w:type="dxa" w:w="159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33.31%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color w:val="1B3A5C"/>
                <w:sz w:val="20"/>
                <w:szCs w:val="20"/>
              </w:rPr>
              <w:t xml:space="preserve">Our System (3-Modality + Multi-Layer)</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1B3A5C"/>
                <w:sz w:val="20"/>
                <w:szCs w:val="20"/>
              </w:rPr>
              <w:t xml:space="preserve">94.23%</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1B3A5C"/>
                <w:sz w:val="20"/>
                <w:szCs w:val="20"/>
              </w:rPr>
              <w:t xml:space="preserve">1.81%</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1B3A5C"/>
                <w:sz w:val="20"/>
                <w:szCs w:val="20"/>
              </w:rPr>
              <w:t xml:space="preserve">75.76%</w:t>
            </w:r>
          </w:p>
        </w:tc>
        <w:tc>
          <w:tcPr>
            <w:tcW w:type="dxa" w:w="15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1B3A5C"/>
                <w:sz w:val="20"/>
                <w:szCs w:val="20"/>
              </w:rPr>
              <w:t xml:space="preserve">82.25%</w:t>
            </w:r>
          </w:p>
        </w:tc>
      </w:tr>
    </w:tbl>
    <w:p>
      <w:pPr>
        <w:spacing w:after="140"/>
        <w:jc w:val="both"/>
      </w:pPr>
      <w:r>
        <w:rPr>
          <w:rFonts w:ascii="Arial" w:cs="Arial" w:eastAsia="Arial" w:hAnsi="Arial"/>
          <w:sz w:val="22"/>
          <w:szCs w:val="22"/>
        </w:rPr>
        <w:t xml:space="preserve">Our system achieves the highest accuracy (+7.88 pp over next best), lowest FPR, and highest F1 (+44.33 pp over next best). The multi-modal ensemble addresses the fundamental weakness of each single-method approach.</w:t>
      </w:r>
    </w:p>
    <w:p>
      <w:pPr>
        <w:spacing w:before="200"/>
      </w:pPr>
    </w:p>
    <w:p>
      <w:pPr>
        <w:pStyle w:val="Heading2"/>
        <w:spacing w:after="160" w:before="280"/>
      </w:pPr>
      <w:r>
        <w:rPr>
          <w:rFonts w:ascii="Arial" w:cs="Arial" w:eastAsia="Arial" w:hAnsi="Arial"/>
          <w:b/>
          <w:bCs/>
          <w:color w:val="2D5F8A"/>
          <w:sz w:val="26"/>
          <w:szCs w:val="26"/>
        </w:rPr>
        <w:t xml:space="preserve">Live SCADA Validation</w:t>
      </w:r>
    </w:p>
    <w:p>
      <w:pPr>
        <w:pStyle w:val="ListParagraph"/>
        <w:numPr>
          <w:ilvl w:val="0"/>
          <w:numId w:val="3"/>
        </w:numPr>
        <w:spacing w:after="80"/>
      </w:pPr>
      <w:r>
        <w:rPr>
          <w:rFonts w:ascii="Arial" w:cs="Arial" w:eastAsia="Arial" w:hAnsi="Arial"/>
          <w:sz w:val="22"/>
          <w:szCs w:val="22"/>
        </w:rPr>
        <w:t xml:space="preserve">Live agents: 100, Non-live: 0</w:t>
      </w:r>
    </w:p>
    <w:p>
      <w:pPr>
        <w:pStyle w:val="ListParagraph"/>
        <w:numPr>
          <w:ilvl w:val="0"/>
          <w:numId w:val="3"/>
        </w:numPr>
        <w:spacing w:after="80"/>
      </w:pPr>
      <w:r>
        <w:rPr>
          <w:rFonts w:ascii="Arial" w:cs="Arial" w:eastAsia="Arial" w:hAnsi="Arial"/>
          <w:sz w:val="22"/>
          <w:szCs w:val="22"/>
        </w:rPr>
        <w:t xml:space="preserve">Poll rate: 12 polls/minute</w:t>
      </w:r>
    </w:p>
    <w:p>
      <w:pPr>
        <w:pStyle w:val="ListParagraph"/>
        <w:numPr>
          <w:ilvl w:val="0"/>
          <w:numId w:val="3"/>
        </w:numPr>
        <w:spacing w:after="200"/>
      </w:pPr>
      <w:r>
        <w:rPr>
          <w:rFonts w:ascii="Arial" w:cs="Arial" w:eastAsia="Arial" w:hAnsi="Arial"/>
          <w:sz w:val="22"/>
          <w:szCs w:val="22"/>
        </w:rPr>
        <w:t xml:space="preserve">Average pipeline latency: &lt; 200ms per 100-agent batch</w:t>
      </w:r>
    </w:p>
    <w:p>
      <w:r>
        <w:br w:type="page"/>
      </w:r>
    </w:p>
    <w:p>
      <w:pPr>
        <w:pStyle w:val="Heading1"/>
        <w:spacing w:after="200" w:before="360"/>
      </w:pPr>
      <w:r>
        <w:rPr>
          <w:rFonts w:ascii="Arial" w:cs="Arial" w:eastAsia="Arial" w:hAnsi="Arial"/>
          <w:b/>
          <w:bCs/>
          <w:color w:val="1B3A5C"/>
          <w:sz w:val="32"/>
          <w:szCs w:val="32"/>
        </w:rPr>
        <w:t xml:space="preserve">Conclusion</w:t>
      </w:r>
    </w:p>
    <w:p>
      <w:pPr>
        <w:spacing w:after="140"/>
        <w:jc w:val="both"/>
      </w:pPr>
      <w:r>
        <w:rPr>
          <w:rFonts w:ascii="Arial" w:cs="Arial" w:eastAsia="Arial" w:hAnsi="Arial"/>
          <w:sz w:val="22"/>
          <w:szCs w:val="22"/>
        </w:rPr>
        <w:t xml:space="preserve">This project extends the theoretical framework of Priyadarsini et al. into a complete operational implementation. The three-modality voting ensemble achieves higher accuracy (99.76% vs 98.4%), lower false positive rate (0.24% vs 3.2%), and higher risk mitigation (95.93% vs 87.9%) than the base paper on the same evaluation methodology. The hybrid Q-learning and gradient descent scheduler improves cost efficiency by 12.27 percentage points. All claims are validated over 10 independent seeds with reported mean and standard deviation.</w:t>
      </w:r>
    </w:p>
    <w:p>
      <w:pPr>
        <w:spacing w:after="140"/>
        <w:jc w:val="both"/>
      </w:pPr>
      <w:r>
        <w:rPr>
          <w:rFonts w:ascii="Arial" w:cs="Arial" w:eastAsia="Arial" w:hAnsi="Arial"/>
          <w:sz w:val="22"/>
          <w:szCs w:val="22"/>
        </w:rPr>
        <w:t xml:space="preserve">Beyond quantitative results, the project makes architectural contributions: live Rapid SCADA integration (paper has none), feature-level XAI (paper is black-box), tamper-evident blockchain audit ledger (paper identifies this as future work), and federated learning across heterogeneous agent clusters (paper identifies this as future work).</w:t>
      </w:r>
    </w:p>
    <w:p>
      <w:pPr>
        <w:spacing w:after="140"/>
        <w:jc w:val="both"/>
      </w:pPr>
      <w:r>
        <w:rPr>
          <w:rFonts w:ascii="Arial" w:cs="Arial" w:eastAsia="Arial" w:hAnsi="Arial"/>
          <w:sz w:val="22"/>
          <w:szCs w:val="22"/>
        </w:rPr>
        <w:t xml:space="preserve">The system is demonstrated as a working prototype with a 26-page operational dashboard, live SCADA connectivity, and a full Python backend and Next.js frontend. The implementation is reproducible and backed by a complete test suite.</w:t>
      </w:r>
    </w:p>
    <w:p>
      <w:pPr>
        <w:spacing w:after="140"/>
        <w:jc w:val="both"/>
      </w:pPr>
      <w:r>
        <w:rPr>
          <w:rFonts w:ascii="Arial" w:cs="Arial" w:eastAsia="Arial" w:hAnsi="Arial"/>
          <w:sz w:val="22"/>
          <w:szCs w:val="22"/>
        </w:rPr>
        <w:t xml:space="preserve">The primary limitations — synthetic cyber metrics, calculated SCADA channels rather than physical field measurements, hand-set baselines — are consistent with the academic research context and are shared by the base paper and comparable literature.</w:t>
      </w:r>
    </w:p>
    <w:p>
      <w:r>
        <w:br w:type="page"/>
      </w:r>
    </w:p>
    <w:p>
      <w:pPr>
        <w:pStyle w:val="Heading1"/>
        <w:spacing w:after="200" w:before="360"/>
      </w:pPr>
      <w:r>
        <w:rPr>
          <w:rFonts w:ascii="Arial" w:cs="Arial" w:eastAsia="Arial" w:hAnsi="Arial"/>
          <w:b/>
          <w:bCs/>
          <w:color w:val="1B3A5C"/>
          <w:sz w:val="32"/>
          <w:szCs w:val="32"/>
        </w:rPr>
        <w:t xml:space="preserve">Future Work</w:t>
      </w:r>
    </w:p>
    <w:p>
      <w:pPr>
        <w:pStyle w:val="ListParagraph"/>
        <w:numPr>
          <w:ilvl w:val="0"/>
          <w:numId w:val="4"/>
        </w:numPr>
        <w:spacing w:after="140"/>
      </w:pPr>
      <w:r>
        <w:rPr>
          <w:rFonts w:ascii="Arial" w:cs="Arial" w:eastAsia="Arial" w:hAnsi="Arial"/>
          <w:b/>
          <w:bCs/>
          <w:sz w:val="22"/>
          <w:szCs w:val="22"/>
        </w:rPr>
        <w:t xml:space="preserve">IDS/SIEM integration: </w:t>
      </w:r>
      <w:r>
        <w:rPr>
          <w:rFonts w:ascii="Arial" w:cs="Arial" w:eastAsia="Arial" w:hAnsi="Arial"/>
          <w:sz w:val="22"/>
          <w:szCs w:val="22"/>
        </w:rPr>
        <w:t xml:space="preserve">Replace engineered cyber metric baselines with real packet_loss, integrity, and comm_freq measurements from a network intrusion detection system (Snort, Suricata, Zeek).</w:t>
      </w:r>
    </w:p>
    <w:p>
      <w:pPr>
        <w:pStyle w:val="ListParagraph"/>
        <w:numPr>
          <w:ilvl w:val="0"/>
          <w:numId w:val="4"/>
        </w:numPr>
        <w:spacing w:after="140"/>
      </w:pPr>
      <w:r>
        <w:rPr>
          <w:rFonts w:ascii="Arial" w:cs="Arial" w:eastAsia="Arial" w:hAnsi="Arial"/>
          <w:b/>
          <w:bCs/>
          <w:sz w:val="22"/>
          <w:szCs w:val="22"/>
        </w:rPr>
        <w:t xml:space="preserve">Adaptive baselines via online learning: </w:t>
      </w:r>
      <w:r>
        <w:rPr>
          <w:rFonts w:ascii="Arial" w:cs="Arial" w:eastAsia="Arial" w:hAnsi="Arial"/>
          <w:sz w:val="22"/>
          <w:szCs w:val="22"/>
        </w:rPr>
        <w:t xml:space="preserve">Replace hand-set agent-type baselines with baselines learned from operational data using exponential smoothing or Bayesian online change point detection.</w:t>
      </w:r>
    </w:p>
    <w:p>
      <w:pPr>
        <w:pStyle w:val="ListParagraph"/>
        <w:numPr>
          <w:ilvl w:val="0"/>
          <w:numId w:val="4"/>
        </w:numPr>
        <w:spacing w:after="140"/>
      </w:pPr>
      <w:r>
        <w:rPr>
          <w:rFonts w:ascii="Arial" w:cs="Arial" w:eastAsia="Arial" w:hAnsi="Arial"/>
          <w:b/>
          <w:bCs/>
          <w:sz w:val="22"/>
          <w:szCs w:val="22"/>
        </w:rPr>
        <w:t xml:space="preserve">Physical PLC/RTU integration: </w:t>
      </w:r>
      <w:r>
        <w:rPr>
          <w:rFonts w:ascii="Arial" w:cs="Arial" w:eastAsia="Arial" w:hAnsi="Arial"/>
          <w:sz w:val="22"/>
          <w:szCs w:val="22"/>
        </w:rPr>
        <w:t xml:space="preserve">Replace Rapid SCADA calculated channels with real field measurements from PLCs via Modbus TCP or OPC UA.</w:t>
      </w:r>
    </w:p>
    <w:p>
      <w:pPr>
        <w:pStyle w:val="ListParagraph"/>
        <w:numPr>
          <w:ilvl w:val="0"/>
          <w:numId w:val="4"/>
        </w:numPr>
        <w:spacing w:after="140"/>
      </w:pPr>
      <w:r>
        <w:rPr>
          <w:rFonts w:ascii="Arial" w:cs="Arial" w:eastAsia="Arial" w:hAnsi="Arial"/>
          <w:b/>
          <w:bCs/>
          <w:sz w:val="22"/>
          <w:szCs w:val="22"/>
        </w:rPr>
        <w:t xml:space="preserve">Precision improvement: </w:t>
      </w:r>
      <w:r>
        <w:rPr>
          <w:rFonts w:ascii="Arial" w:cs="Arial" w:eastAsia="Arial" w:hAnsi="Arial"/>
          <w:sz w:val="22"/>
          <w:szCs w:val="22"/>
        </w:rPr>
        <w:t xml:space="preserve">A cost-sensitive tuning study could identify operating points that raise precision to 40–50% while keeping recall above 95%, reducing operator alert fatigue.</w:t>
      </w:r>
    </w:p>
    <w:p>
      <w:pPr>
        <w:pStyle w:val="ListParagraph"/>
        <w:numPr>
          <w:ilvl w:val="0"/>
          <w:numId w:val="4"/>
        </w:numPr>
        <w:spacing w:after="140"/>
      </w:pPr>
      <w:r>
        <w:rPr>
          <w:rFonts w:ascii="Arial" w:cs="Arial" w:eastAsia="Arial" w:hAnsi="Arial"/>
          <w:b/>
          <w:bCs/>
          <w:sz w:val="22"/>
          <w:szCs w:val="22"/>
        </w:rPr>
        <w:t xml:space="preserve">Distributed deployment: </w:t>
      </w:r>
      <w:r>
        <w:rPr>
          <w:rFonts w:ascii="Arial" w:cs="Arial" w:eastAsia="Arial" w:hAnsi="Arial"/>
          <w:sz w:val="22"/>
          <w:szCs w:val="22"/>
        </w:rPr>
        <w:t xml:space="preserve">Extend the federated learning architecture from 4 simulated clusters to a geographically distributed deployment across multiple backend nodes.</w:t>
      </w:r>
    </w:p>
    <w:p>
      <w:pPr>
        <w:pStyle w:val="ListParagraph"/>
        <w:numPr>
          <w:ilvl w:val="0"/>
          <w:numId w:val="4"/>
        </w:numPr>
        <w:spacing w:after="400"/>
      </w:pPr>
      <w:r>
        <w:rPr>
          <w:rFonts w:ascii="Arial" w:cs="Arial" w:eastAsia="Arial" w:hAnsi="Arial"/>
          <w:b/>
          <w:bCs/>
          <w:sz w:val="22"/>
          <w:szCs w:val="22"/>
        </w:rPr>
        <w:t xml:space="preserve">Regulatory validation: </w:t>
      </w:r>
      <w:r>
        <w:rPr>
          <w:rFonts w:ascii="Arial" w:cs="Arial" w:eastAsia="Arial" w:hAnsi="Arial"/>
          <w:sz w:val="22"/>
          <w:szCs w:val="22"/>
        </w:rPr>
        <w:t xml:space="preserve">Map the framework to NERC CIP requirements and IEC 62443 security levels as a pathway toward utility-grade certification.</w:t>
      </w:r>
    </w:p>
    <w:p>
      <w:r>
        <w:br w:type="page"/>
      </w:r>
    </w:p>
    <w:p>
      <w:pPr>
        <w:pStyle w:val="Heading1"/>
        <w:spacing w:after="200" w:before="360"/>
      </w:pPr>
      <w:r>
        <w:rPr>
          <w:rFonts w:ascii="Arial" w:cs="Arial" w:eastAsia="Arial" w:hAnsi="Arial"/>
          <w:b/>
          <w:bCs/>
          <w:color w:val="1B3A5C"/>
          <w:sz w:val="32"/>
          <w:szCs w:val="32"/>
        </w:rPr>
        <w:t xml:space="preserve">References</w:t>
      </w:r>
    </w:p>
    <w:p>
      <w:pPr>
        <w:spacing w:after="80"/>
        <w:ind w:left="360" w:hanging="360"/>
      </w:pPr>
      <w:r>
        <w:rPr>
          <w:rFonts w:ascii="Arial" w:cs="Arial" w:eastAsia="Arial" w:hAnsi="Arial"/>
          <w:sz w:val="20"/>
          <w:szCs w:val="20"/>
        </w:rPr>
        <w:t xml:space="preserve">[1] M. Priyadarsini et al., "Enhancing Security of Distributed Multi-Agent Systems in Smart Grids: An AI-Driven Approach to Regular Audits," ACM Transactions on Privacy and Security (TOPS), 2025.</w:t>
      </w:r>
    </w:p>
    <w:p>
      <w:pPr>
        <w:spacing w:after="80"/>
        <w:ind w:left="360" w:hanging="360"/>
      </w:pPr>
      <w:r>
        <w:rPr>
          <w:rFonts w:ascii="Arial" w:cs="Arial" w:eastAsia="Arial" w:hAnsi="Arial"/>
          <w:sz w:val="20"/>
          <w:szCs w:val="20"/>
        </w:rPr>
        <w:t xml:space="preserve">[2] M. Fahim and V. Sharma, "Anomaly Detection in Smart Grids: A Review," IEEE Access, vol. 10, pp. 1–24, 2022.</w:t>
      </w:r>
    </w:p>
    <w:p>
      <w:pPr>
        <w:spacing w:after="80"/>
        <w:ind w:left="360" w:hanging="360"/>
      </w:pPr>
      <w:r>
        <w:rPr>
          <w:rFonts w:ascii="Arial" w:cs="Arial" w:eastAsia="Arial" w:hAnsi="Arial"/>
          <w:sz w:val="20"/>
          <w:szCs w:val="20"/>
        </w:rPr>
        <w:t xml:space="preserve">[3] Y. Musleh, G. Chen, and Z. Y. Dong, "A Survey on the Detection Algorithms for False Data Injection Attacks in Smart Grids," IEEE Trans. Smart Grid, vol. 11, no. 3, pp. 2218–2234, 2020.</w:t>
      </w:r>
    </w:p>
    <w:p>
      <w:pPr>
        <w:spacing w:after="80"/>
        <w:ind w:left="360" w:hanging="360"/>
      </w:pPr>
      <w:r>
        <w:rPr>
          <w:rFonts w:ascii="Arial" w:cs="Arial" w:eastAsia="Arial" w:hAnsi="Arial"/>
          <w:sz w:val="20"/>
          <w:szCs w:val="20"/>
        </w:rPr>
        <w:t xml:space="preserve">[4] A. Achaal et al., "A Comprehensive Survey on Smart Grid Communication Security," IEEE Communications Surveys &amp; Tutorials, vol. 24, no. 1, pp. 1–40, 2022.</w:t>
      </w:r>
    </w:p>
    <w:p>
      <w:pPr>
        <w:spacing w:after="80"/>
        <w:ind w:left="360" w:hanging="360"/>
      </w:pPr>
      <w:r>
        <w:rPr>
          <w:rFonts w:ascii="Arial" w:cs="Arial" w:eastAsia="Arial" w:hAnsi="Arial"/>
          <w:sz w:val="20"/>
          <w:szCs w:val="20"/>
        </w:rPr>
        <w:t xml:space="preserve">[5] S. Sharma, "Security and Privacy in Smart Grid Systems," IEEE IoT Journal, vol. 7, no. 7, pp. 5905–5925, 2020.</w:t>
      </w:r>
    </w:p>
    <w:p>
      <w:pPr>
        <w:spacing w:after="80"/>
        <w:ind w:left="360" w:hanging="360"/>
      </w:pPr>
      <w:r>
        <w:rPr>
          <w:rFonts w:ascii="Arial" w:cs="Arial" w:eastAsia="Arial" w:hAnsi="Arial"/>
          <w:sz w:val="20"/>
          <w:szCs w:val="20"/>
        </w:rPr>
        <w:t xml:space="preserve">[6] A. M. Farid, "Multi-Agent System Design Principles for Resilient Coordination and Control of Future Power Systems," Intelligence, vol. 3, pp. 86–109, 2015.</w:t>
      </w:r>
    </w:p>
    <w:p>
      <w:pPr>
        <w:spacing w:after="80"/>
        <w:ind w:left="360" w:hanging="360"/>
      </w:pPr>
      <w:r>
        <w:rPr>
          <w:rFonts w:ascii="Arial" w:cs="Arial" w:eastAsia="Arial" w:hAnsi="Arial"/>
          <w:sz w:val="20"/>
          <w:szCs w:val="20"/>
        </w:rPr>
        <w:t xml:space="preserve">[7] A. Sadeghi et al., "A Security Survey of Industrial Control Systems," in Proc. IEEE ICPS, 2021.</w:t>
      </w:r>
    </w:p>
    <w:p>
      <w:pPr>
        <w:spacing w:after="80"/>
        <w:ind w:left="360" w:hanging="360"/>
      </w:pPr>
      <w:r>
        <w:rPr>
          <w:rFonts w:ascii="Arial" w:cs="Arial" w:eastAsia="Arial" w:hAnsi="Arial"/>
          <w:sz w:val="20"/>
          <w:szCs w:val="20"/>
        </w:rPr>
        <w:t xml:space="preserve">[8] J. Liu et al., "Cyber Security and Privacy Issues in Smart Grids," IEEE Communications Surveys &amp; Tutorials, vol. 14, no. 4, pp. 981–997, 2012.</w:t>
      </w:r>
    </w:p>
    <w:p>
      <w:pPr>
        <w:spacing w:after="80"/>
        <w:ind w:left="360" w:hanging="360"/>
      </w:pPr>
      <w:r>
        <w:rPr>
          <w:rFonts w:ascii="Arial" w:cs="Arial" w:eastAsia="Arial" w:hAnsi="Arial"/>
          <w:sz w:val="20"/>
          <w:szCs w:val="20"/>
        </w:rPr>
        <w:t xml:space="preserve">[9] Z. H. Yu, W. L. Chin, "Blind False Data Injection Attack Using PCA Approximation Method in Smart Grid," IEEE Trans. Smart Grid, vol. 6, no. 3, pp. 1219–1226, 2015.</w:t>
      </w:r>
    </w:p>
    <w:p>
      <w:pPr>
        <w:spacing w:after="80"/>
        <w:ind w:left="360" w:hanging="360"/>
      </w:pPr>
      <w:r>
        <w:rPr>
          <w:rFonts w:ascii="Arial" w:cs="Arial" w:eastAsia="Arial" w:hAnsi="Arial"/>
          <w:sz w:val="20"/>
          <w:szCs w:val="20"/>
        </w:rPr>
        <w:t xml:space="preserve">[10] A. Ashok, M. Govindarasu, and J. Wang, "Cyber-Physical Attack-Resilient Wide-Area Monitoring, Protection, and Control for the Power Grid," Proc. IEEE, vol. 105, no. 7, pp. 1389–1407, 2017.</w:t>
      </w:r>
    </w:p>
    <w:p>
      <w:pPr>
        <w:spacing w:after="80"/>
        <w:ind w:left="360" w:hanging="360"/>
      </w:pPr>
      <w:r>
        <w:rPr>
          <w:rFonts w:ascii="Arial" w:cs="Arial" w:eastAsia="Arial" w:hAnsi="Arial"/>
          <w:sz w:val="20"/>
          <w:szCs w:val="20"/>
        </w:rPr>
        <w:t xml:space="preserve">[11] P. Bountakas et al., "Defense Methods for False Data Injection Attacks on Smart Grid: A Review and Analysis," IEEE Systems Journal, vol. 17, no. 1, pp. 622–633, 2023.</w:t>
      </w:r>
    </w:p>
    <w:p>
      <w:pPr>
        <w:spacing w:after="80"/>
        <w:ind w:left="360" w:hanging="360"/>
      </w:pPr>
      <w:r>
        <w:rPr>
          <w:rFonts w:ascii="Arial" w:cs="Arial" w:eastAsia="Arial" w:hAnsi="Arial"/>
          <w:sz w:val="20"/>
          <w:szCs w:val="20"/>
        </w:rPr>
        <w:t xml:space="preserve">[12] H. Mohammadpourfard, A. Sami, and Y. Weng, "A Statistical Unsupervised Method Against False Data Injection Attacks: A Game Theoretic Approach," Applied Energy, vol. 205, pp. 158–168, 2017.</w:t>
      </w:r>
    </w:p>
    <w:p>
      <w:pPr>
        <w:spacing w:after="80"/>
        <w:ind w:left="360" w:hanging="360"/>
      </w:pPr>
      <w:r>
        <w:rPr>
          <w:rFonts w:ascii="Arial" w:cs="Arial" w:eastAsia="Arial" w:hAnsi="Arial"/>
          <w:sz w:val="20"/>
          <w:szCs w:val="20"/>
        </w:rPr>
        <w:t xml:space="preserve">[13] T. Bhattacharya et al., "Federated Learning for Smart Grid Applications," IEEE Trans. Industrial Informatics, vol. 18, no. 5, pp. 3128–3138, 2022.</w:t>
      </w:r>
    </w:p>
    <w:p>
      <w:pPr>
        <w:spacing w:after="80"/>
        <w:ind w:left="360" w:hanging="360"/>
      </w:pPr>
      <w:r>
        <w:rPr>
          <w:rFonts w:ascii="Arial" w:cs="Arial" w:eastAsia="Arial" w:hAnsi="Arial"/>
          <w:sz w:val="20"/>
          <w:szCs w:val="20"/>
        </w:rPr>
        <w:t xml:space="preserve">[14] B. McMahan et al., "Communication-Efficient Learning of Deep Networks from Decentralized Data," in Proc. AISTATS, 2017.</w:t>
      </w:r>
    </w:p>
    <w:p>
      <w:pPr>
        <w:spacing w:after="80"/>
        <w:ind w:left="360" w:hanging="360"/>
      </w:pPr>
      <w:r>
        <w:rPr>
          <w:rFonts w:ascii="Arial" w:cs="Arial" w:eastAsia="Arial" w:hAnsi="Arial"/>
          <w:sz w:val="20"/>
          <w:szCs w:val="20"/>
        </w:rPr>
        <w:t xml:space="preserve">[15] S. Lundberg and S. I. Lee, "A Unified Approach to Interpreting Model Predictions," in NeurIPS, vol. 30, 2017.</w:t>
      </w:r>
    </w:p>
    <w:p>
      <w:pPr>
        <w:spacing w:after="80"/>
        <w:ind w:left="360" w:hanging="360"/>
      </w:pPr>
      <w:r>
        <w:rPr>
          <w:rFonts w:ascii="Arial" w:cs="Arial" w:eastAsia="Arial" w:hAnsi="Arial"/>
          <w:sz w:val="20"/>
          <w:szCs w:val="20"/>
        </w:rPr>
        <w:t xml:space="preserve">[16] D. Dua and C. Graff, "UCI ML Repository: Electrical Grid Stability Simulated Data Set," UC Irvine, 2019.</w:t>
      </w:r>
    </w:p>
    <w:p>
      <w:pPr>
        <w:spacing w:after="80"/>
        <w:ind w:left="360" w:hanging="360"/>
      </w:pPr>
      <w:r>
        <w:rPr>
          <w:rFonts w:ascii="Arial" w:cs="Arial" w:eastAsia="Arial" w:hAnsi="Arial"/>
          <w:sz w:val="20"/>
          <w:szCs w:val="20"/>
        </w:rPr>
        <w:t xml:space="preserve">[17] R. S. Sutton and A. G. Barto, "Reinforcement Learning: An Introduction," 2nd ed., MIT Press, 2018.</w:t>
      </w:r>
    </w:p>
    <w:p>
      <w:pPr>
        <w:spacing w:after="80"/>
        <w:ind w:left="360" w:hanging="360"/>
      </w:pPr>
      <w:r>
        <w:rPr>
          <w:rFonts w:ascii="Arial" w:cs="Arial" w:eastAsia="Arial" w:hAnsi="Arial"/>
          <w:sz w:val="20"/>
          <w:szCs w:val="20"/>
        </w:rPr>
        <w:t xml:space="preserve">[18] N. Moustafa and J. Slay, "UNSW-NB15: A Comprehensive Data Set for Network Intrusion Detection Systems," in Proc. MilCIS, 2015.</w:t>
      </w:r>
    </w:p>
    <w:p>
      <w:pPr>
        <w:spacing w:after="80"/>
        <w:ind w:left="360" w:hanging="360"/>
      </w:pPr>
      <w:r>
        <w:rPr>
          <w:rFonts w:ascii="Arial" w:cs="Arial" w:eastAsia="Arial" w:hAnsi="Arial"/>
          <w:sz w:val="20"/>
          <w:szCs w:val="20"/>
        </w:rPr>
        <w:t xml:space="preserve">[19] IEC 62351, "Power Systems Management and Associated Information Exchange — Data and Communications Security," IEC, 2018.</w:t>
      </w:r>
    </w:p>
    <w:p>
      <w:pPr>
        <w:spacing w:after="80"/>
        <w:ind w:left="360" w:hanging="360"/>
      </w:pPr>
      <w:r>
        <w:rPr>
          <w:rFonts w:ascii="Arial" w:cs="Arial" w:eastAsia="Arial" w:hAnsi="Arial"/>
          <w:sz w:val="20"/>
          <w:szCs w:val="20"/>
        </w:rPr>
        <w:t xml:space="preserve">[20] NERC, "Critical Infrastructure Protection (CIP) Standards,"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SmartGrid AI Audit Framework — Academic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2026-05-10T07:53:28.859Z</dcterms:created>
  <dcterms:modified xsi:type="dcterms:W3CDTF">2026-05-10T07:53:28.860Z</dcterms:modified>
</cp:coreProperties>
</file>

<file path=docProps/custom.xml><?xml version="1.0" encoding="utf-8"?>
<Properties xmlns="http://schemas.openxmlformats.org/officeDocument/2006/custom-properties" xmlns:vt="http://schemas.openxmlformats.org/officeDocument/2006/docPropsVTypes"/>
</file>