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SmartGrid AI Audit Framework — One-Page Cheat Sheet</w:t>
      </w:r>
    </w:p>
    <w:p>
      <w:pPr>
        <w:spacing w:after="150"/>
        <w:jc w:val="center"/>
      </w:pPr>
      <w:r>
        <w:rPr>
          <w:i/>
          <w:iCs/>
          <w:color w:val="666666"/>
          <w:sz w:val="20"/>
          <w:szCs w:val="20"/>
        </w:rPr>
        <w:t xml:space="preserve">Glance at this two minutes before you walk in.</w:t>
      </w:r>
    </w:p>
    <w:p>
      <w:pPr>
        <w:spacing w:after="50" w:before="160"/>
      </w:pPr>
      <w:r>
        <w:rPr>
          <w:b/>
          <w:bCs/>
          <w:color w:val="B05000"/>
          <w:sz w:val="24"/>
          <w:szCs w:val="24"/>
        </w:rPr>
        <w:t xml:space="preserve">Headline numbers (N=100, protected, five-seed mean)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Ours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paper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Detection accuracy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93.85%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98.4%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6.18%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Recall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98.24%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reported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mitigation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93.66%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87.9%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57.28%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42.5%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coverage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93.8%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Cross-layer stability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90.62%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reported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>We win on risk mitigation, cost efficiency, coverage, plus recall and attack typing. Accuracy and false alarms are traded for high recall on purpose.</w:t>
      </w:r>
    </w:p>
    <w:p>
      <w:pPr>
        <w:spacing w:after="50" w:before="160"/>
      </w:pPr>
      <w:r>
        <w:rPr>
          <w:b/>
          <w:bCs/>
          <w:color w:val="B05000"/>
          <w:sz w:val="24"/>
          <w:szCs w:val="24"/>
        </w:rPr>
        <w:t xml:space="preserve">Per-attack detection (evaluation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FDI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Fault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99.0%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78.8%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72.6%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98.4%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>The new fault detector raised fault detection from 8.1% to 98.6%.</w:t>
      </w:r>
    </w:p>
    <w:p>
      <w:pPr>
        <w:spacing w:after="50" w:before="160"/>
      </w:pPr>
      <w:r>
        <w:rPr>
          <w:b/>
          <w:bCs/>
          <w:color w:val="B05000"/>
          <w:sz w:val="24"/>
          <w:szCs w:val="24"/>
        </w:rPr>
        <w:t xml:space="preserve">Scaling (protected)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800"/>
        <w:gridCol w:w="1800"/>
        <w:gridCol w:w="18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FPR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N=100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93.85%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6.18%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 ms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N=200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93.69%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6.33%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103 ms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N=500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93.70%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6.33%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91.44%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255 ms</w:t>
            </w:r>
          </w:p>
        </w:tc>
      </w:tr>
    </w:tbl>
    <w:p>
      <w:pPr>
        <w:spacing w:after="50" w:before="160"/>
      </w:pPr>
      <w:r>
        <w:rPr>
          <w:b/>
          <w:bCs/>
          <w:color w:val="B05000"/>
          <w:sz w:val="24"/>
          <w:szCs w:val="24"/>
        </w:rPr>
        <w:t xml:space="preserve">Five-method study (same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FPR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Deviation-only (base)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81.40%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9.06%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36.89%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41.18%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LSTM-only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86.35%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22.67%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36.96%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68.85%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27.95%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53.92%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37.92%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One-Class SVM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46.35%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59.99%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75.93%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33.31%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Ours (multi-layer)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94.23%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1.81%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75.76%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82.25%</w:t>
            </w:r>
          </w:p>
        </w:tc>
      </w:tr>
    </w:tbl>
    <w:p>
      <w:pPr>
        <w:spacing w:after="50" w:before="160"/>
      </w:pPr>
      <w:r>
        <w:rPr>
          <w:b/>
          <w:bCs/>
          <w:color w:val="B05000"/>
          <w:sz w:val="24"/>
          <w:szCs w:val="24"/>
        </w:rPr>
        <w:t xml:space="preserve">Architecture in one glance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Four tiers: SCADA in, normalise, detect and schedule, dashboard out.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Detection: Layer A deviation, Layer B time-based LSTM, Layer C four detectors, plus a cross-layer check.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Layer C: C-1 CUSUM FDI, C-2 rule DoS, C-3 integrity-jump MITM, C-4 signature fault (new).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Model: dual-branch LSTM (physical + cyber), trained on UCI grid stability and UNSW-NB15.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Scheduler: Q-learning for the direction plus gradient optimisation for the budget amount.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Typing: STEP / RAMP / OSCILLATORY / STABLE shapes map to FDI, DoS, MITM, Fault, or Coordinated Chain.</w:t>
      </w:r>
    </w:p>
    <w:p>
      <w:pPr>
        <w:spacing w:after="50" w:before="160"/>
      </w:pPr>
      <w:r>
        <w:rPr>
          <w:b/>
          <w:bCs/>
          <w:color w:val="B05000"/>
          <w:sz w:val="24"/>
          <w:szCs w:val="24"/>
        </w:rPr>
        <w:t xml:space="preserve">Six contributions over the base paper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1. Multi-layer detection instead of one layer.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2. Time-based dual-branch LSTM trained on two real datasets.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3. Four attack-specific detectors, including the new fault detector.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4. Hybrid scheduler (Q-learning + gradient).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5. Live Rapid SCADA connection.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6. Explanations for every flag, and a full operator dashboard.</w:t>
      </w:r>
    </w:p>
    <w:p>
      <w:pPr>
        <w:spacing w:after="50" w:before="160"/>
      </w:pPr>
      <w:r>
        <w:rPr>
          <w:b/>
          <w:bCs/>
          <w:color w:val="B05000"/>
          <w:sz w:val="24"/>
          <w:szCs w:val="24"/>
        </w:rPr>
        <w:t xml:space="preserve">Three things you must not forget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Always run the live demo in Protected mode (that is what gives the reported numbers).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The fault detector is the star result: 8.1% to 98.6%.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 xml:space="preserve">Accuracy is a little below the base paper on purpose, because we tune for high recall and we name attack types.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2026-07-02T05:45:02.086Z</dcterms:created>
  <dcterms:modified xsi:type="dcterms:W3CDTF">2026-07-02T05:45:02.086Z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