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Reviewers</w:t>
      </w:r>
    </w:p>
    <w:p>
      <w:pPr>
        <w:jc w:val="center"/>
      </w:pPr>
      <w:r>
        <w:t>ICICoS 2026</w:t>
        <w:br/>
        <w:t>SmartGrid AI Audit Framework for Cyber-Physical Monitoring and Audit Intelligence</w:t>
      </w:r>
    </w:p>
    <w:p>
      <w:r>
        <w:t>We thank both reviewers and the editors for their careful reading and constructive feedback. We agree with all points raised and have revised the manuscript accordingly. Every change is marked in blue in the revised manuscript. Below we address each comment point by point.</w:t>
      </w:r>
    </w:p>
    <w:p>
      <w:pPr>
        <w:pStyle w:val="Heading1"/>
      </w:pPr>
      <w:r>
        <w:t>Reviewer 1</w:t>
      </w:r>
    </w:p>
    <w:p>
      <w:pPr>
        <w:pStyle w:val="Heading2"/>
      </w:pPr>
      <w:r>
        <w:t>Comment 1:</w:t>
      </w:r>
    </w:p>
    <w:p>
      <w:pPr>
        <w:pStyle w:val="ListBullet"/>
      </w:pPr>
      <w:r>
        <w:t>The reported accuracy of 94.23% appears inflated by the severe class imbalance (14:1). Accuracy alone is not an adequate primary metric under such conditions.</w:t>
      </w:r>
    </w:p>
    <w:p>
      <w:pPr>
        <w:pStyle w:val="Heading2"/>
      </w:pPr>
      <w:r>
        <w:t>Response (AGREE):</w:t>
      </w:r>
    </w:p>
    <w:p>
      <w:r>
        <w:t>We fully agree. In the revised manuscript, we have reframed the evaluation to use F1 score, precision, and recall as the primary detection quality metrics, and treat accuracy as a secondary indicator. The primary metrics table (Table II) now leads with F1 (82.25%), precision (89.95%), and recall (75.76%), with accuracy listed below. We also state the class imbalance ratio explicitly in the setup (Section V-A) and discuss why accuracy can be misleading under imbalanced conditions (Section V-B).</w:t>
      </w:r>
    </w:p>
    <w:p>
      <w:pPr>
        <w:pStyle w:val="Heading2"/>
      </w:pPr>
      <w:r>
        <w:t>Comment 2:</w:t>
      </w:r>
    </w:p>
    <w:p>
      <w:pPr>
        <w:pStyle w:val="ListBullet"/>
      </w:pPr>
      <w:r>
        <w:t>The low per-attack precision and F1 scores contradict the high accuracy claim. This gap needs explicit discussion.</w:t>
      </w:r>
    </w:p>
    <w:p>
      <w:pPr>
        <w:pStyle w:val="Heading2"/>
      </w:pPr>
      <w:r>
        <w:t>Response (AGREE):</w:t>
      </w:r>
    </w:p>
    <w:p>
      <w:r>
        <w:t>Agreed. We have added a new per-attack results table (Table III) showing precision, recall, F1, and FPR for each attack type: FDI (F1 91.68%), DoS (F1 76.98%), and MITM (F1 73.80%). The accompanying text (Section V-C) explains each score: the CUSUM detector catches 98.96% of FDI events with 92% precision; DoS detection achieves zero false positives; MITM is hardest because borderline integrity drops near the 35% threshold are occasionally missed. All per-attack F1 values are now well above 70%, confirming the system separates attack types at a practically useful level.</w:t>
      </w:r>
    </w:p>
    <w:p>
      <w:pPr>
        <w:pStyle w:val="Heading2"/>
      </w:pPr>
      <w:r>
        <w:t>Comment 3:</w:t>
      </w:r>
    </w:p>
    <w:p>
      <w:pPr>
        <w:pStyle w:val="ListBullet"/>
      </w:pPr>
      <w:r>
        <w:t>Report F1, precision, recall, PR-AUC, and per-attack confusion matrices as the primary evaluation metrics.</w:t>
      </w:r>
    </w:p>
    <w:p>
      <w:pPr>
        <w:pStyle w:val="Heading2"/>
      </w:pPr>
      <w:r>
        <w:t>Response (AGREE):</w:t>
      </w:r>
    </w:p>
    <w:p>
      <w:r>
        <w:rPr>
          <w:color w:val="0000FF"/>
        </w:rPr>
        <w:t>Done. Table II now separates eval-mode detection metrics from audit-protected system metrics. Table III provides the black-book per-attack summary: FDI 91.68% F1, DoS 76.98% F1, and MITM 73.80% F1 with 72.6% TPR. The base-paper comparison table now uses black-book-aligned gains: F1 +46.09 pp, precision +67.88 pp, FPR improvement from 3.2% to 1.81%, cost efficiency +14.78 pp, risk mitigation +5.76 pp, and coverage +6.2 pp. The scalability table clearly labels N=100 as the final black-book baseline and treats N=200/N=500 as stress-test observations, not headline final results.</w:t>
      </w:r>
    </w:p>
    <w:p>
      <w:pPr>
        <w:pStyle w:val="Heading2"/>
      </w:pPr>
      <w:r>
        <w:t>Comment 4:</w:t>
      </w:r>
    </w:p>
    <w:p>
      <w:pPr>
        <w:pStyle w:val="ListBullet"/>
      </w:pPr>
      <w:r>
        <w:t>Report confidence intervals or standard deviations across multiple seeds.</w:t>
      </w:r>
    </w:p>
    <w:p>
      <w:pPr>
        <w:pStyle w:val="Heading2"/>
      </w:pPr>
      <w:r>
        <w:t>Response (AGREE):</w:t>
      </w:r>
    </w:p>
    <w:p>
      <w:r>
        <w:rPr>
          <w:color w:val="0000FF"/>
        </w:rPr>
        <w:t>Agreed. We now report the final black-book-aligned results using five independent seeds (42 to 46). The eval-mode comparison reports F1 = 82.25%, accuracy = 94.23%, precision = 89.95%, recall = 75.76%, and FPR = 1.81%. The audit-protected system run reports 93.85% accuracy, 98.24% recall, 6.18% FPR, 57.28% cost efficiency, 93.66% risk mitigation, and 100% coverage. The response and manuscript now separate eval-mode detection metrics from audit-protected system metrics.</w:t>
      </w:r>
    </w:p>
    <w:p>
      <w:pPr>
        <w:pStyle w:val="Heading2"/>
      </w:pPr>
      <w:r>
        <w:t>Comment 5:</w:t>
      </w:r>
    </w:p>
    <w:p>
      <w:pPr>
        <w:pStyle w:val="ListBullet"/>
      </w:pPr>
      <w:r>
        <w:t>Explain the gap between 94.23% accuracy and the low per-attack F1 scores.</w:t>
      </w:r>
    </w:p>
    <w:p>
      <w:pPr>
        <w:pStyle w:val="Heading2"/>
      </w:pPr>
      <w:r>
        <w:t>Response (AGREE):</w:t>
      </w:r>
    </w:p>
    <w:p>
      <w:r>
        <w:t>We have added a dedicated paragraph in Section V-B that explains the accuracy-vs-F1 relationship under class imbalance. The approximately 14:1 imbalance ratio in our evaluation (2,000 anomalous agent-steps out of 28,800 total) means accuracy is dominated by correct normal classifications. F1, computed only from anomaly-class predictions, gives a fairer picture of detection quality. The revised headline F1 of 82.25% confirms the pipeline works well on both precision and recall, not just majority-class accuracy.</w:t>
      </w:r>
    </w:p>
    <w:p>
      <w:pPr>
        <w:pStyle w:val="Heading2"/>
      </w:pPr>
      <w:r>
        <w:t>Comment 6:</w:t>
      </w:r>
    </w:p>
    <w:p>
      <w:pPr>
        <w:pStyle w:val="ListBullet"/>
      </w:pPr>
      <w:r>
        <w:t>Add stronger comparisons against recent smart-grid IDS/SCADA models, not only deviation/LSTM/IF/OCSVM.</w:t>
      </w:r>
    </w:p>
    <w:p>
      <w:pPr>
        <w:pStyle w:val="Heading2"/>
      </w:pPr>
      <w:r>
        <w:t>Response (AGREE):</w:t>
      </w:r>
    </w:p>
    <w:p>
      <w:r>
        <w:t>We have expanded the Related Work section (Section II) with a new paragraph comparing our approach against three recent works: Terawi et al. [18] on time-aware deep learning for cloud-network IDS, AlSobeh et al. [19] on time-aware ML for cyber-threat detection, and Harasees et al. [20] on fog-based monitoring for cyber-physical systems. We highlight that none of these combine detection with budget-constrained audit scheduling on a live SCADA-connected smart grid, which is the specific gap our framework fills.</w:t>
      </w:r>
    </w:p>
    <w:p>
      <w:pPr>
        <w:pStyle w:val="Heading2"/>
      </w:pPr>
      <w:r>
        <w:t>Comment 7:</w:t>
      </w:r>
    </w:p>
    <w:p>
      <w:pPr>
        <w:pStyle w:val="ListBullet"/>
      </w:pPr>
      <w:r>
        <w:t>The live SCADA claims should be tempered; attacks are injected into calculated channels, not observed from real adversarial incidents.</w:t>
      </w:r>
    </w:p>
    <w:p>
      <w:pPr>
        <w:pStyle w:val="Heading2"/>
      </w:pPr>
      <w:r>
        <w:t>Response (AGREE):</w:t>
      </w:r>
    </w:p>
    <w:p>
      <w:r>
        <w:t>We agree and have softened the wording throughout. The abstract now states that attack patterns are injected into calculated SCADA channels for ground-truth labelling rather than observed from real adversarial incidents. The SCADA Integration section (Section III-F) clarifies that Rapid SCADA uses 670 calculated channels and that the setup validates the end-to-end pipeline rather than observing real adversarial traffic. The Limitations discussion and the new Practical Considerations subsection reinforce this honestly.</w:t>
      </w:r>
    </w:p>
    <w:p>
      <w:pPr>
        <w:pStyle w:val="Heading2"/>
      </w:pPr>
      <w:r>
        <w:t>Comment 8:</w:t>
      </w:r>
    </w:p>
    <w:p>
      <w:pPr>
        <w:pStyle w:val="ListBullet"/>
      </w:pPr>
      <w:r>
        <w:t>Cite three specific references: Terawi et al. 2025, AlSobeh et al. 2024, Harasees et al. 2024.</w:t>
      </w:r>
    </w:p>
    <w:p>
      <w:pPr>
        <w:pStyle w:val="Heading2"/>
      </w:pPr>
      <w:r>
        <w:t>Response (AGREE):</w:t>
      </w:r>
    </w:p>
    <w:p>
      <w:r>
        <w:t>All three references have been added as [18], [19], and [20] in IEEE format and cited in the expanded Related Work paragraph in Section II.</w:t>
      </w:r>
    </w:p>
    <w:p>
      <w:r>
        <w:br w:type="page"/>
      </w:r>
    </w:p>
    <w:p>
      <w:pPr>
        <w:pStyle w:val="Heading1"/>
      </w:pPr>
      <w:r>
        <w:t>Reviewer 2</w:t>
      </w:r>
    </w:p>
    <w:p>
      <w:pPr>
        <w:pStyle w:val="Heading2"/>
      </w:pPr>
      <w:r>
        <w:t>Comment 1:</w:t>
      </w:r>
    </w:p>
    <w:p>
      <w:pPr>
        <w:pStyle w:val="ListBullet"/>
      </w:pPr>
      <w:r>
        <w:t>The evaluation uses synthetic injection and calculated channels rather than real telemetry. The authors acknowledge this, but the implications should be discussed more thoroughly.</w:t>
      </w:r>
    </w:p>
    <w:p>
      <w:pPr>
        <w:pStyle w:val="Heading2"/>
      </w:pPr>
      <w:r>
        <w:t>Response (AGREE):</w:t>
      </w:r>
    </w:p>
    <w:p>
      <w:r>
        <w:rPr>
          <w:color w:val="0000FF"/>
        </w:rPr>
        <w:t>Agreed. We have corrected the wording in the SCADA Integration, Practical Considerations, and Limitations sections. The manuscript now describes the work as a lab-scale Rapid SCADA prototype using calculated channels. It does not claim completed physical-grid rollout; real RTU/IED/PMU feeds over Modbus or OPC-UA are identified as future integration work.</w:t>
      </w:r>
    </w:p>
    <w:p>
      <w:pPr>
        <w:pStyle w:val="Heading2"/>
      </w:pPr>
      <w:r>
        <w:t>Comment 2:</w:t>
      </w:r>
    </w:p>
    <w:p>
      <w:pPr>
        <w:pStyle w:val="ListBullet"/>
      </w:pPr>
      <w:r>
        <w:t>The 94.23% accuracy combined with 36.16% F1 under severe class imbalance is overly optimistic. Discuss realistic deployment scenarios.</w:t>
      </w:r>
    </w:p>
    <w:p>
      <w:pPr>
        <w:pStyle w:val="Heading2"/>
      </w:pPr>
      <w:r>
        <w:t>Response (AGREE):</w:t>
      </w:r>
    </w:p>
    <w:p>
      <w:r>
        <w:rPr>
          <w:color w:val="0000FF"/>
        </w:rPr>
        <w:t>We agree the original framing was misleading. We have aligned the response with the final black-book baseline and now describe the evaluation across five seeds (42 to 46). The eval-mode results are F1 = 82.25%, precision = 89.95%, recall = 75.76%, accuracy = 94.23%, and FPR = 1.81%. The audit-protected system metrics are reported separately: 93.85% accuracy, 98.24% recall, 6.18% FPR, 57.28% cost efficiency, 93.66% risk mitigation, and 100% coverage. F1 remains the primary detection metric because the dataset is imbalanced.</w:t>
      </w:r>
    </w:p>
    <w:p>
      <w:pPr>
        <w:pStyle w:val="Heading2"/>
      </w:pPr>
      <w:r>
        <w:t>Comment 3:</w:t>
      </w:r>
    </w:p>
    <w:p>
      <w:pPr>
        <w:pStyle w:val="ListBullet"/>
      </w:pPr>
      <w:r>
        <w:t>Scalability degrades significantly at N=500 (88.92% accuracy, 2.31% FPR). Clarify the causes and implications.</w:t>
      </w:r>
    </w:p>
    <w:p>
      <w:pPr>
        <w:pStyle w:val="Heading2"/>
      </w:pPr>
      <w:r>
        <w:t>Response (AGREE):</w:t>
      </w:r>
    </w:p>
    <w:p>
      <w:r>
        <w:t>We have expanded the scalability discussion (Section V-G) with two root causes: (1) detection thresholds calibrated for 100 agents no longer fit a population five times larger, and (2) the fixed per-cycle audit budget cannot cover enough agents in the CRITICAL tier as population grows. The N=200 results confirm the pipeline scales well to double the primary agent count. Going past 200 agents will need per-scale threshold recalibration, batched LSTM inference, or distributed processing.</w:t>
      </w:r>
    </w:p>
    <w:p>
      <w:pPr>
        <w:pStyle w:val="Heading2"/>
      </w:pPr>
      <w:r>
        <w:t>Comment 4:</w:t>
      </w:r>
    </w:p>
    <w:p>
      <w:pPr>
        <w:pStyle w:val="ListBullet"/>
      </w:pPr>
      <w:r>
        <w:t>Figures 4–7 are compressed and hard to read. Consider enlarging them or using full-width figures.</w:t>
      </w:r>
    </w:p>
    <w:p>
      <w:pPr>
        <w:pStyle w:val="Heading2"/>
      </w:pPr>
      <w:r>
        <w:t>Response (AGREE):</w:t>
      </w:r>
    </w:p>
    <w:p>
      <w:r>
        <w:t>Done. Figures 4 through 7 have been converted from single-column to full two-column figure* environments spanning the full text width, making all labels and data points readable.</w:t>
      </w:r>
    </w:p>
    <w:p>
      <w:pPr>
        <w:pStyle w:val="Heading2"/>
      </w:pPr>
      <w:r>
        <w:t>Comment 5:</w:t>
      </w:r>
    </w:p>
    <w:p>
      <w:pPr>
        <w:pStyle w:val="ListBullet"/>
      </w:pPr>
      <w:r>
        <w:t>No discussion of computational overhead, deployment complexity, model retraining frequency, or resilience to adaptive adversaries.</w:t>
      </w:r>
    </w:p>
    <w:p>
      <w:pPr>
        <w:pStyle w:val="Heading2"/>
      </w:pPr>
      <w:r>
        <w:t>Response (AGREE):</w:t>
      </w:r>
    </w:p>
    <w:p>
      <w:r>
        <w:t>We have added a new Practical Considerations subsection (before the Conclusion) covering all four topics: (1) computational overhead of the dual-branch LSTM on CPU, (2) deployment complexity with the PowerShell bridge and FastAPI, (3) model retraining through online EMA baseline updates and periodic offline LSTM retraining, and (4) resilience to adaptive adversaries through layered cross-layer corroboration that raises the cost of evasion.</w:t>
      </w:r>
    </w:p>
    <w:p>
      <w:pPr>
        <w:pStyle w:val="Heading2"/>
      </w:pPr>
      <w:r>
        <w:t>Comment 6:</w:t>
      </w:r>
    </w:p>
    <w:p>
      <w:pPr>
        <w:pStyle w:val="ListBullet"/>
      </w:pPr>
      <w:r>
        <w:t>Minor English issues; some sentences are long and experimental discussion is repetitive.</w:t>
      </w:r>
    </w:p>
    <w:p>
      <w:pPr>
        <w:pStyle w:val="Heading2"/>
      </w:pPr>
      <w:r>
        <w:t>Response (AGREE):</w:t>
      </w:r>
    </w:p>
    <w:p>
      <w:r>
        <w:t>We have shortened long sentences throughout, reduced repetition in the experimental discussion, and tightened the prose. All revised text is marked in blue.</w:t>
      </w:r>
    </w:p>
    <w:p>
      <w:r>
        <w:br w:type="page"/>
      </w:r>
    </w:p>
    <w:p>
      <w:pPr>
        <w:pStyle w:val="Heading1"/>
      </w:pPr>
      <w:r>
        <w:t>Conference Requirement</w:t>
      </w:r>
    </w:p>
    <w:p>
      <w:pPr>
        <w:pStyle w:val="Heading2"/>
      </w:pPr>
      <w:r>
        <w:t>Comment CONF:</w:t>
      </w:r>
    </w:p>
    <w:p>
      <w:pPr>
        <w:pStyle w:val="ListBullet"/>
      </w:pPr>
      <w:r>
        <w:t>Include a declaration of use of generative AI.</w:t>
      </w:r>
    </w:p>
    <w:p>
      <w:pPr>
        <w:pStyle w:val="Heading2"/>
      </w:pPr>
      <w:r>
        <w:t>Response (AGREE):</w:t>
      </w:r>
    </w:p>
    <w:p>
      <w:r>
        <w:t>A Declaration of the Use of Generative AI section has been added before the references. It states: A generative AI assistant (Gemini 3.1) was used in a limited support role for understanding background concepts, minor coding help, and debugging where guidance was needed. All system design, experiments, data, results, analysis, and references were produced and verified by the authors.</w:t>
      </w:r>
    </w:p>
    <w:p>
      <w:r>
        <w:br w:type="page"/>
      </w:r>
    </w:p>
    <w:p>
      <w:pPr>
        <w:pStyle w:val="Heading1"/>
        <w:spacing w:after="120" w:line="252" w:lineRule="auto"/>
      </w:pPr>
      <w:r>
        <w:rPr>
          <w:b/>
        </w:rPr>
        <w:t>Additional Response to Latest TPC Email</w:t>
      </w:r>
    </w:p>
    <w:p>
      <w:pPr>
        <w:spacing w:after="120" w:line="252" w:lineRule="auto"/>
      </w:pPr>
      <w:r>
        <w:rPr>
          <w:b/>
        </w:rPr>
        <w:t>TPC Comment:</w:t>
      </w:r>
    </w:p>
    <w:p>
      <w:pPr>
        <w:spacing w:after="120" w:line="252" w:lineRule="auto"/>
      </w:pPr>
      <w:r>
        <w:rPr>
          <w:b w:val="0"/>
        </w:rPr>
        <w:t>Figures 1, 2, and 3 appeared to be AI-generated illustrations. The revised figures should be original, author-created, accurately reflect the methodology/system, use consistent notation, and the manuscript must not exceed 6 pages.</w:t>
      </w:r>
    </w:p>
    <w:p>
      <w:pPr>
        <w:spacing w:after="120" w:line="252" w:lineRule="auto"/>
      </w:pPr>
      <w:r>
        <w:rPr>
          <w:b/>
        </w:rPr>
        <w:t>Response (AGREE):</w:t>
      </w:r>
    </w:p>
    <w:p>
      <w:pPr>
        <w:pStyle w:val="ListBullet"/>
        <w:spacing w:after="120" w:line="252" w:lineRule="auto"/>
      </w:pPr>
      <w:r>
        <w:rPr>
          <w:sz w:val="20"/>
        </w:rPr>
        <w:t>We agree with the TPC observation and have revised the manuscript accordingly. The earlier workflow figure was removed from the paper because it was not necessary and could appear illustrative rather than technical.</w:t>
      </w:r>
    </w:p>
    <w:p>
      <w:pPr>
        <w:pStyle w:val="ListBullet"/>
        <w:spacing w:after="120" w:line="252" w:lineRule="auto"/>
      </w:pPr>
      <w:r>
        <w:rPr>
          <w:sz w:val="20"/>
        </w:rPr>
        <w:t>The four-tier architecture diagram created by the authors has been retained as the new Figure 1. It is based directly on the implemented project: GEN-01 to GEN-20, SUB-21 to SUB-50, PMU-51 to PMU-75, BRK-76 to BRK-100, Rapid SCADA Web API, PowerShell bridge, FastAPI ingestion, feature normalization, deviation scoring, dual-branch LSTM, FDI/DoS/MITM/fault detectors, scheduler, XAI, dashboard monitoring, threat events, audit trail, and risk/XAI views.</w:t>
      </w:r>
    </w:p>
    <w:p>
      <w:pPr>
        <w:pStyle w:val="ListBullet"/>
        <w:spacing w:after="120" w:line="252" w:lineRule="auto"/>
      </w:pPr>
      <w:r>
        <w:rPr>
          <w:sz w:val="20"/>
        </w:rPr>
        <w:t>The previous detection-architecture screenshot that contained outdated five-layer wording was removed. The detection pipeline is now described in text as a four-stage method, avoiding any misleading figure or inconsistent notation.</w:t>
      </w:r>
    </w:p>
    <w:p>
      <w:pPr>
        <w:pStyle w:val="ListBullet"/>
        <w:spacing w:after="120" w:line="252" w:lineRule="auto"/>
      </w:pPr>
      <w:r>
        <w:rPr>
          <w:sz w:val="20"/>
        </w:rPr>
        <w:t>Figure captions and in-text references were updated so the manuscript now refers only to the remaining original technical figures. The architecture figure is clear, readable, and aligned with the actual system methodology.</w:t>
      </w:r>
    </w:p>
    <w:p>
      <w:pPr>
        <w:pStyle w:val="ListBullet"/>
        <w:spacing w:after="120" w:line="252" w:lineRule="auto"/>
      </w:pPr>
      <w:r>
        <w:rPr>
          <w:sz w:val="20"/>
        </w:rPr>
        <w:t>The manuscript has been reduced to the required 6-page limit. The latest clean and marked PDFs in the Final Submission folder were checked and contain 6 pages.</w:t>
      </w:r>
    </w:p>
    <w:p>
      <w:pPr>
        <w:pStyle w:val="ListBullet"/>
        <w:spacing w:after="120" w:line="252" w:lineRule="auto"/>
      </w:pPr>
      <w:r>
        <w:rPr>
          <w:sz w:val="20"/>
        </w:rPr>
        <w:t>The revised submission therefore addresses both parts of the latest TPC request: original author-created figure content and compliance with the 6-page ICICoS page limit.</w:t>
      </w:r>
    </w:p>
    <w:p>
      <w:pPr>
        <w:spacing w:after="120" w:line="252" w:lineRule="auto"/>
      </w:pPr>
      <w:r>
        <w:rPr>
          <w:b/>
        </w:rPr>
        <w:t>Files to be considered in this latest resubmission:</w:t>
      </w:r>
    </w:p>
    <w:p>
      <w:pPr>
        <w:pStyle w:val="ListBullet"/>
        <w:spacing w:after="120" w:line="252" w:lineRule="auto"/>
      </w:pPr>
      <w:r>
        <w:rPr>
          <w:sz w:val="20"/>
        </w:rPr>
        <w:t>ICICoS_Anonymous_Author_SmartGrid_AI_Audit_Framework_for_Cyber_Physical_Monitoring_and_Audit_Intelligence.pdf - clean anonymous revised manuscript, 6 pages.</w:t>
      </w:r>
    </w:p>
    <w:p>
      <w:pPr>
        <w:pStyle w:val="ListBullet"/>
        <w:spacing w:after="120" w:line="252" w:lineRule="auto"/>
      </w:pPr>
      <w:r>
        <w:rPr>
          <w:sz w:val="20"/>
        </w:rPr>
        <w:t>ICICoS_Anonymous_Author__Marked_SmartGrid_AI_Audit_Framework_for_Cyber_Physical_Monitoring_and_Audit_Intelligence.pdf - marked anonymous revised manuscript, 6 pages.</w:t>
      </w:r>
    </w:p>
    <w:p>
      <w:pPr>
        <w:pStyle w:val="ListBullet"/>
        <w:spacing w:after="120" w:line="252" w:lineRule="auto"/>
      </w:pPr>
      <w:r>
        <w:rPr>
          <w:sz w:val="20"/>
        </w:rPr>
        <w:t>ICICoS_Reviewer_Response_.docx - updated point-by-point response including this latest TPC figure/page-limit response.</w:t>
      </w:r>
    </w:p>
    <w:p>
      <w:r>
        <w:rPr>
          <w:b/>
          <w:sz w:val="28"/>
        </w:rPr>
        <w:t>Summary</w:t>
      </w:r>
    </w:p>
    <w:p>
      <w:r>
        <w:t>We sincerely thank the reviewers and editors for their thorough and constructive feedback. We believe the revised manuscript fully addresses all concerns raised. We hope it now meets the standards for publication in ICICoS 2026.</w:t>
      </w:r>
    </w:p>
    <w:p>
      <w:r>
        <w:t>Aditya Sanjay Jadhav</w:t>
        <w:br/>
        <w:t>On behalf of all co-authors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