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42" w:lineRule="auto"/>
      </w:pPr>
      <w:r>
        <w:rPr/>
        <w:t>SmartGrid AI Audit Framework for Cyber-</w:t>
      </w:r>
      <w:r>
        <w:rPr/>
        <w:t>Physical Monitoring and Audit Intelligence</w:t>
      </w:r>
    </w:p>
    <w:p>
      <w:pPr>
        <w:pStyle w:val="BodyText"/>
        <w:spacing w:before="2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2240" w:h="15840"/>
          <w:pgMar w:top="900" w:bottom="280" w:left="720" w:right="720"/>
        </w:sectPr>
      </w:pPr>
    </w:p>
    <w:p>
      <w:pPr>
        <w:spacing w:before="116"/>
        <w:ind w:left="1247" w:right="144" w:firstLine="0"/>
        <w:jc w:val="center"/>
        <w:rPr>
          <w:sz w:val="22"/>
        </w:rPr>
      </w:pPr>
      <w:r>
        <w:rPr>
          <w:sz w:val="22"/>
        </w:rPr>
        <w:t>1</w:t>
      </w:r>
      <w:r>
        <w:rPr>
          <w:sz w:val="22"/>
          <w:vertAlign w:val="superscript"/>
        </w:rPr>
        <w:t>st</w:t>
      </w:r>
      <w:r>
        <w:rPr>
          <w:spacing w:val="33"/>
          <w:sz w:val="22"/>
          <w:vertAlign w:val="baseline"/>
        </w:rPr>
        <w:t> </w:t>
      </w:r>
      <w:r>
        <w:rPr>
          <w:sz w:val="22"/>
          <w:vertAlign w:val="baseline"/>
        </w:rPr>
        <w:t>Aditya</w:t>
      </w:r>
      <w:r>
        <w:rPr>
          <w:spacing w:val="23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Jadhav</w:t>
      </w:r>
    </w:p>
    <w:p>
      <w:pPr>
        <w:spacing w:line="256" w:lineRule="auto" w:before="15"/>
        <w:ind w:left="1179" w:right="144" w:firstLine="0"/>
        <w:jc w:val="center"/>
        <w:rPr>
          <w:i/>
          <w:sz w:val="20"/>
        </w:rPr>
      </w:pPr>
      <w:r>
        <w:rPr>
          <w:i/>
          <w:sz w:val="20"/>
        </w:rPr>
        <w:t>Dept. of Computer Engineering </w:t>
      </w:r>
      <w:r>
        <w:rPr>
          <w:i/>
          <w:sz w:val="20"/>
        </w:rPr>
        <w:t>&amp; Information Technology</w:t>
      </w:r>
    </w:p>
    <w:p>
      <w:pPr>
        <w:spacing w:before="1"/>
        <w:ind w:left="1103" w:right="0" w:firstLine="0"/>
        <w:jc w:val="center"/>
        <w:rPr>
          <w:i/>
          <w:sz w:val="20"/>
        </w:rPr>
      </w:pPr>
      <w:r>
        <w:rPr>
          <w:i/>
          <w:sz w:val="20"/>
        </w:rPr>
        <w:t>Veermata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Jijabai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Technological Institute</w:t>
      </w:r>
      <w:r>
        <w:rPr>
          <w:i/>
          <w:spacing w:val="-1"/>
          <w:sz w:val="20"/>
        </w:rPr>
        <w:t> </w:t>
      </w:r>
      <w:r>
        <w:rPr>
          <w:i/>
          <w:spacing w:val="-2"/>
          <w:sz w:val="20"/>
        </w:rPr>
        <w:t>(VJTI)</w:t>
      </w:r>
    </w:p>
    <w:p>
      <w:pPr>
        <w:pStyle w:val="BodyText"/>
        <w:spacing w:line="256" w:lineRule="auto" w:before="17"/>
        <w:ind w:left="1954" w:right="849" w:hanging="70"/>
        <w:jc w:val="center"/>
      </w:pPr>
      <w:r>
        <w:rPr/>
        <w:t>Mumbai, India </w:t>
      </w:r>
      <w:hyperlink r:id="rId5">
        <w:r>
          <w:rPr>
            <w:spacing w:val="-2"/>
          </w:rPr>
          <w:t>aditya.jadhav@ce.vjti.ac.in</w:t>
        </w:r>
      </w:hyperlink>
    </w:p>
    <w:p>
      <w:pPr>
        <w:spacing w:before="116"/>
        <w:ind w:left="594" w:right="891" w:firstLine="0"/>
        <w:jc w:val="center"/>
        <w:rPr>
          <w:sz w:val="22"/>
        </w:rPr>
      </w:pPr>
      <w:r>
        <w:rPr/>
        <w:br w:type="column"/>
      </w:r>
      <w:r>
        <w:rPr>
          <w:sz w:val="22"/>
        </w:rPr>
        <w:t>2</w:t>
      </w:r>
      <w:r>
        <w:rPr>
          <w:sz w:val="22"/>
          <w:vertAlign w:val="superscript"/>
        </w:rPr>
        <w:t>nd</w:t>
      </w:r>
      <w:r>
        <w:rPr>
          <w:spacing w:val="28"/>
          <w:sz w:val="22"/>
          <w:vertAlign w:val="baseline"/>
        </w:rPr>
        <w:t> </w:t>
      </w:r>
      <w:r>
        <w:rPr>
          <w:sz w:val="22"/>
          <w:vertAlign w:val="baseline"/>
        </w:rPr>
        <w:t>Shrinivas</w:t>
      </w:r>
      <w:r>
        <w:rPr>
          <w:spacing w:val="19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Khedkar</w:t>
      </w:r>
    </w:p>
    <w:p>
      <w:pPr>
        <w:spacing w:line="256" w:lineRule="auto" w:before="15"/>
        <w:ind w:left="524" w:right="891" w:firstLine="0"/>
        <w:jc w:val="center"/>
        <w:rPr>
          <w:i/>
          <w:sz w:val="20"/>
        </w:rPr>
      </w:pPr>
      <w:r>
        <w:rPr>
          <w:i/>
          <w:sz w:val="20"/>
        </w:rPr>
        <w:t>Faculty, Dept. of Computer Engineering </w:t>
      </w:r>
      <w:r>
        <w:rPr>
          <w:i/>
          <w:sz w:val="20"/>
        </w:rPr>
        <w:t>&amp; Information Technology</w:t>
      </w:r>
    </w:p>
    <w:p>
      <w:pPr>
        <w:spacing w:before="1"/>
        <w:ind w:left="594" w:right="891" w:firstLine="0"/>
        <w:jc w:val="center"/>
        <w:rPr>
          <w:i/>
          <w:sz w:val="20"/>
        </w:rPr>
      </w:pPr>
      <w:r>
        <w:rPr>
          <w:i/>
          <w:sz w:val="20"/>
        </w:rPr>
        <w:t>Veermata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Jijabai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Technological Institute</w:t>
      </w:r>
      <w:r>
        <w:rPr>
          <w:i/>
          <w:spacing w:val="-1"/>
          <w:sz w:val="20"/>
        </w:rPr>
        <w:t> </w:t>
      </w:r>
      <w:r>
        <w:rPr>
          <w:i/>
          <w:spacing w:val="-2"/>
          <w:sz w:val="20"/>
        </w:rPr>
        <w:t>(VJTI)</w:t>
      </w:r>
    </w:p>
    <w:p>
      <w:pPr>
        <w:pStyle w:val="BodyText"/>
        <w:spacing w:line="256" w:lineRule="auto" w:before="17"/>
        <w:ind w:left="1783" w:right="2080" w:hanging="70"/>
        <w:jc w:val="center"/>
      </w:pPr>
      <w:r>
        <w:rPr/>
        <w:t>Mumbai, India </w:t>
      </w:r>
      <w:hyperlink r:id="rId6">
        <w:r>
          <w:rPr>
            <w:spacing w:val="-2"/>
          </w:rPr>
          <w:t>sakhedkar@ce.vjti.ac.in</w:t>
        </w:r>
      </w:hyperlink>
    </w:p>
    <w:p>
      <w:pPr>
        <w:pStyle w:val="BodyText"/>
        <w:spacing w:after="0" w:line="256" w:lineRule="auto"/>
        <w:jc w:val="center"/>
        <w:sectPr>
          <w:type w:val="continuous"/>
          <w:pgSz w:w="12240" w:h="15840"/>
          <w:pgMar w:top="900" w:bottom="280" w:left="720" w:right="720"/>
          <w:cols w:num="2" w:equalWidth="0">
            <w:col w:w="4979" w:space="40"/>
            <w:col w:w="5781"/>
          </w:cols>
        </w:sectPr>
      </w:pPr>
    </w:p>
    <w:p>
      <w:pPr>
        <w:pStyle w:val="BodyText"/>
      </w:pPr>
    </w:p>
    <w:p>
      <w:pPr>
        <w:pStyle w:val="BodyText"/>
        <w:spacing w:before="115"/>
      </w:pPr>
    </w:p>
    <w:p>
      <w:pPr>
        <w:pStyle w:val="BodyText"/>
        <w:spacing w:after="0"/>
        <w:sectPr>
          <w:type w:val="continuous"/>
          <w:pgSz w:w="12240" w:h="15840"/>
          <w:pgMar w:top="900" w:bottom="280" w:left="720" w:right="720"/>
        </w:sectPr>
      </w:pPr>
    </w:p>
    <w:p>
      <w:pPr>
        <w:spacing w:line="230" w:lineRule="auto" w:before="123"/>
        <w:ind w:left="259" w:right="0" w:firstLine="199"/>
        <w:jc w:val="both"/>
        <w:rPr>
          <w:b/>
          <w:sz w:val="18"/>
        </w:rPr>
      </w:pPr>
      <w:r>
        <w:rPr>
          <w:b/>
          <w:i/>
          <w:sz w:val="18"/>
        </w:rPr>
        <w:t>Abstract</w:t>
      </w:r>
      <w:r>
        <w:rPr>
          <w:b/>
          <w:sz w:val="18"/>
        </w:rPr>
        <w:t>—Smart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grid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systems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operate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as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tightly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coupled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cyber-physical environments where electrical infrastructure, commu-nication networks, and supervisory control layers interact con-tinuously. This coupling widens the attack surface and creates exposure to coordinated threats including false data injection (FDI), denial of service (DoS), and man-in-the-middle (MITM) intrusions. Existing anomaly detection approaches for smart grids are predominantly single-layer and cannot classify distinct attack categories while simultaneously limiting false alarms. Audit scheduling mechanisms in prior work rely on either fixed priority rules or single-objective reinforcement learning, neither of which accounts for continuous budget constraints across large agent populations.</w:t>
      </w:r>
    </w:p>
    <w:p>
      <w:pPr>
        <w:spacing w:line="230" w:lineRule="auto" w:before="11"/>
        <w:ind w:left="259" w:right="0" w:firstLine="199"/>
        <w:jc w:val="both"/>
        <w:rPr>
          <w:b/>
          <w:sz w:val="18"/>
        </w:rPr>
      </w:pPr>
      <w:r>
        <w:rPr>
          <w:b/>
          <w:sz w:val="18"/>
        </w:rPr>
        <w:t>This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paper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presents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SmartGrid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AI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Audit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Framework,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a platform for continuous anomaly detection, attack-specific classification, hybrid audit scheduling, and explainable decision support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in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multi-agent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smart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grid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environments.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detec-tion pipeline combines statistical deviation scoring, dual-branch LSTM</w:t>
      </w:r>
      <w:r>
        <w:rPr>
          <w:b/>
          <w:spacing w:val="28"/>
          <w:sz w:val="18"/>
        </w:rPr>
        <w:t> </w:t>
      </w:r>
      <w:r>
        <w:rPr>
          <w:b/>
          <w:sz w:val="18"/>
        </w:rPr>
        <w:t>temporal</w:t>
      </w:r>
      <w:r>
        <w:rPr>
          <w:b/>
          <w:spacing w:val="28"/>
          <w:sz w:val="18"/>
        </w:rPr>
        <w:t> </w:t>
      </w:r>
      <w:r>
        <w:rPr>
          <w:b/>
          <w:sz w:val="18"/>
        </w:rPr>
        <w:t>inference,</w:t>
      </w:r>
      <w:r>
        <w:rPr>
          <w:b/>
          <w:spacing w:val="28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28"/>
          <w:sz w:val="18"/>
        </w:rPr>
        <w:t> </w:t>
      </w:r>
      <w:r>
        <w:rPr>
          <w:b/>
          <w:sz w:val="18"/>
        </w:rPr>
        <w:t>weighted</w:t>
      </w:r>
      <w:r>
        <w:rPr>
          <w:b/>
          <w:spacing w:val="28"/>
          <w:sz w:val="18"/>
        </w:rPr>
        <w:t> </w:t>
      </w:r>
      <w:r>
        <w:rPr>
          <w:b/>
          <w:sz w:val="18"/>
        </w:rPr>
        <w:t>ensemble</w:t>
      </w:r>
      <w:r>
        <w:rPr>
          <w:b/>
          <w:spacing w:val="28"/>
          <w:sz w:val="18"/>
        </w:rPr>
        <w:t> </w:t>
      </w:r>
      <w:r>
        <w:rPr>
          <w:b/>
          <w:sz w:val="18"/>
        </w:rPr>
        <w:t>fusion</w:t>
      </w:r>
      <w:r>
        <w:rPr>
          <w:b/>
          <w:spacing w:val="28"/>
          <w:sz w:val="18"/>
        </w:rPr>
        <w:t> </w:t>
      </w:r>
      <w:r>
        <w:rPr>
          <w:b/>
          <w:sz w:val="18"/>
        </w:rPr>
        <w:t>with a three-detector module providing targeted coverage for FDI (CUSUM), DoS (rule-based), and MITM (integrity-jump) attack patterns. A hybrid audit scheduler integrates Q-learning for dis-crete escalation decisions with gradient-based cost optimisation for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continuous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budget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allocation.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framework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is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deployed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end-to-end against a live Rapid SCADA supervisory infrastructure covering 100 agents through a PowerShell data bridge.</w:t>
      </w:r>
    </w:p>
    <w:p>
      <w:pPr>
        <w:spacing w:line="230" w:lineRule="auto" w:before="11"/>
        <w:ind w:left="259" w:right="0" w:firstLine="199"/>
        <w:jc w:val="both"/>
        <w:rPr>
          <w:b/>
          <w:sz w:val="18"/>
        </w:rPr>
      </w:pPr>
      <w:r>
        <w:rPr>
          <w:b/>
          <w:sz w:val="18"/>
        </w:rPr>
        <w:t>Evaluation of the validated 100-agent configuration </w:t>
      </w:r>
      <w:r>
        <w:rPr>
          <w:b/>
          <w:sz w:val="18"/>
        </w:rPr>
        <w:t>demon-strates 99.61% detection accuracy, 0.39% false positive rate, 100%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risk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mitigation,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54.32%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cost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efficiency,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100%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au-dit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coverage.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five-method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comparative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study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confirms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that the multi-layer approach achieves 94.23% per-step accuracy</w:t>
      </w:r>
      <w:r>
        <w:rPr>
          <w:b/>
          <w:spacing w:val="80"/>
          <w:w w:val="150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82.25%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F1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score,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outperforming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deviation-only,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LSTM-only, Isolation Forest, and One-Class SVM baselines. Scalability evaluations at 200 and 500 agents characterise the performance boundaries of the current pipeline.</w:t>
      </w:r>
    </w:p>
    <w:p>
      <w:pPr>
        <w:spacing w:line="230" w:lineRule="auto" w:before="9"/>
        <w:ind w:left="259" w:right="0" w:firstLine="199"/>
        <w:jc w:val="both"/>
        <w:rPr>
          <w:b/>
          <w:sz w:val="18"/>
        </w:rPr>
      </w:pPr>
      <w:r>
        <w:rPr>
          <w:b/>
          <w:i/>
          <w:sz w:val="18"/>
        </w:rPr>
        <w:t>Index Terms</w:t>
      </w:r>
      <w:r>
        <w:rPr>
          <w:b/>
          <w:sz w:val="18"/>
        </w:rPr>
        <w:t>—Smart Grid Security, Anomaly </w:t>
      </w:r>
      <w:r>
        <w:rPr>
          <w:b/>
          <w:sz w:val="18"/>
        </w:rPr>
        <w:t>Detection, LSTM, Cyber-Physical Systems, Hybrid Audit Scheduling, SCADA, False Data Injection, Explainable AI, Multi-Layer Detection, Reinforcement Learning</w:t>
      </w:r>
    </w:p>
    <w:p>
      <w:pPr>
        <w:pStyle w:val="BodyText"/>
        <w:spacing w:before="32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2206" w:val="left" w:leader="none"/>
        </w:tabs>
        <w:spacing w:line="240" w:lineRule="auto" w:before="0" w:after="0"/>
        <w:ind w:left="2206" w:right="0" w:hanging="214"/>
        <w:jc w:val="left"/>
        <w:rPr>
          <w:sz w:val="20"/>
        </w:rPr>
      </w:pPr>
      <w:r>
        <w:rPr>
          <w:smallCaps/>
          <w:spacing w:val="-2"/>
          <w:sz w:val="20"/>
        </w:rPr>
        <w:t>Introduction</w:t>
      </w:r>
    </w:p>
    <w:p>
      <w:pPr>
        <w:pStyle w:val="BodyText"/>
        <w:spacing w:line="249" w:lineRule="auto" w:before="94"/>
        <w:ind w:left="259" w:firstLine="199"/>
        <w:jc w:val="both"/>
      </w:pPr>
      <w:r>
        <w:rPr/>
        <w:t>Smart grids represent a convergence of electric </w:t>
      </w:r>
      <w:r>
        <w:rPr/>
        <w:t>power engineering and advanced information and communication technology.</w:t>
      </w:r>
      <w:r>
        <w:rPr>
          <w:spacing w:val="-13"/>
        </w:rPr>
        <w:t> </w:t>
      </w:r>
      <w:r>
        <w:rPr/>
        <w:t>Supervisory</w:t>
      </w:r>
      <w:r>
        <w:rPr>
          <w:spacing w:val="-12"/>
        </w:rPr>
        <w:t> </w:t>
      </w:r>
      <w:r>
        <w:rPr/>
        <w:t>control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data</w:t>
      </w:r>
      <w:r>
        <w:rPr>
          <w:spacing w:val="-13"/>
        </w:rPr>
        <w:t> </w:t>
      </w:r>
      <w:r>
        <w:rPr/>
        <w:t>acquisition</w:t>
      </w:r>
      <w:r>
        <w:rPr>
          <w:spacing w:val="-12"/>
        </w:rPr>
        <w:t> </w:t>
      </w:r>
      <w:r>
        <w:rPr/>
        <w:t>(SCADA) systems, phasor measurement units (PMUs), intelligent elec-tronic devices (IEDs), and remote terminal units (RTUs) are interconnected</w:t>
      </w:r>
      <w:r>
        <w:rPr>
          <w:spacing w:val="63"/>
        </w:rPr>
        <w:t> </w:t>
      </w:r>
      <w:r>
        <w:rPr/>
        <w:t>through</w:t>
      </w:r>
      <w:r>
        <w:rPr>
          <w:spacing w:val="64"/>
        </w:rPr>
        <w:t> </w:t>
      </w:r>
      <w:r>
        <w:rPr/>
        <w:t>industrial</w:t>
      </w:r>
      <w:r>
        <w:rPr>
          <w:spacing w:val="63"/>
        </w:rPr>
        <w:t> </w:t>
      </w:r>
      <w:r>
        <w:rPr/>
        <w:t>communication</w:t>
      </w:r>
      <w:r>
        <w:rPr>
          <w:spacing w:val="64"/>
        </w:rPr>
        <w:t> </w:t>
      </w:r>
      <w:r>
        <w:rPr>
          <w:spacing w:val="-2"/>
        </w:rPr>
        <w:t>protocols</w:t>
      </w:r>
    </w:p>
    <w:p>
      <w:pPr>
        <w:pStyle w:val="BodyText"/>
        <w:spacing w:line="249" w:lineRule="auto" w:before="98"/>
        <w:ind w:left="199" w:right="257"/>
        <w:jc w:val="both"/>
      </w:pPr>
      <w:r>
        <w:rPr/>
        <w:br w:type="column"/>
      </w:r>
      <w:r>
        <w:rPr/>
        <w:t>to enable real-time observability and control across </w:t>
      </w:r>
      <w:r>
        <w:rPr/>
        <w:t>genera-tion, transmission, and distribution assets [1]. This integration creates measurable operational benefits: automatic demand response, rapid fault isolation, dynamic load balancing, and distributed</w:t>
      </w:r>
      <w:r>
        <w:rPr>
          <w:spacing w:val="-7"/>
        </w:rPr>
        <w:t> </w:t>
      </w:r>
      <w:r>
        <w:rPr/>
        <w:t>renewable</w:t>
      </w:r>
      <w:r>
        <w:rPr>
          <w:spacing w:val="-7"/>
        </w:rPr>
        <w:t> </w:t>
      </w:r>
      <w:r>
        <w:rPr/>
        <w:t>energy</w:t>
      </w:r>
      <w:r>
        <w:rPr>
          <w:spacing w:val="-7"/>
        </w:rPr>
        <w:t> </w:t>
      </w:r>
      <w:r>
        <w:rPr/>
        <w:t>coordination.</w:t>
      </w:r>
      <w:r>
        <w:rPr>
          <w:spacing w:val="-7"/>
        </w:rPr>
        <w:t> </w:t>
      </w:r>
      <w:r>
        <w:rPr/>
        <w:t>However,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same connectivity that enables these capabilities also introduces a broad and growing attack surface.</w:t>
      </w:r>
    </w:p>
    <w:p>
      <w:pPr>
        <w:pStyle w:val="BodyText"/>
        <w:spacing w:line="249" w:lineRule="auto"/>
        <w:ind w:left="199" w:right="257" w:firstLine="199"/>
        <w:jc w:val="both"/>
      </w:pPr>
      <w:r>
        <w:rPr/>
        <w:t>Unlike conventional information technology </w:t>
      </w:r>
      <w:r>
        <w:rPr/>
        <w:t>environments, smart grid cyber-physical attacks carry direct physical con-sequences. A coordinated false data injection (FDI) attack</w:t>
      </w:r>
      <w:r>
        <w:rPr>
          <w:spacing w:val="80"/>
        </w:rPr>
        <w:t> </w:t>
      </w:r>
      <w:r>
        <w:rPr/>
        <w:t>that corrupts power flow measurements can cause state es-timation to produce incorrect voltage profiles, potentially triggering protective relay misoperation or masking overload conditions [2]. Denial-of-service (DoS) campaigns targeting telemetry channels disrupt the continuous data streams on which</w:t>
      </w:r>
      <w:r>
        <w:rPr>
          <w:spacing w:val="31"/>
        </w:rPr>
        <w:t> </w:t>
      </w:r>
      <w:r>
        <w:rPr/>
        <w:t>operators</w:t>
      </w:r>
      <w:r>
        <w:rPr>
          <w:spacing w:val="31"/>
        </w:rPr>
        <w:t> </w:t>
      </w:r>
      <w:r>
        <w:rPr/>
        <w:t>depend</w:t>
      </w:r>
      <w:r>
        <w:rPr>
          <w:spacing w:val="31"/>
        </w:rPr>
        <w:t> </w:t>
      </w:r>
      <w:r>
        <w:rPr/>
        <w:t>for</w:t>
      </w:r>
      <w:r>
        <w:rPr>
          <w:spacing w:val="31"/>
        </w:rPr>
        <w:t> </w:t>
      </w:r>
      <w:r>
        <w:rPr/>
        <w:t>situational</w:t>
      </w:r>
      <w:r>
        <w:rPr>
          <w:spacing w:val="31"/>
        </w:rPr>
        <w:t> </w:t>
      </w:r>
      <w:r>
        <w:rPr/>
        <w:t>awareness</w:t>
      </w:r>
      <w:r>
        <w:rPr>
          <w:spacing w:val="31"/>
        </w:rPr>
        <w:t> </w:t>
      </w:r>
      <w:r>
        <w:rPr/>
        <w:t>[3].</w:t>
      </w:r>
      <w:r>
        <w:rPr>
          <w:spacing w:val="31"/>
        </w:rPr>
        <w:t> </w:t>
      </w:r>
      <w:r>
        <w:rPr/>
        <w:t>Man-in-the-middle (MITM) intrusions on communication paths enable silent measurement substitution, allowing attackers to present fabricated operational states while physical conditions deteriorate unobserved [4].</w:t>
      </w:r>
    </w:p>
    <w:p>
      <w:pPr>
        <w:pStyle w:val="BodyText"/>
        <w:spacing w:line="249" w:lineRule="auto"/>
        <w:ind w:left="199" w:right="257" w:firstLine="199"/>
        <w:jc w:val="both"/>
      </w:pPr>
      <w:r>
        <w:rPr/>
        <w:t>The detection challenge is compounded by the </w:t>
      </w:r>
      <w:r>
        <w:rPr/>
        <w:t>heteroge-neous nature of grid assets. Each agent type—generator, sub-station, PMU, circuit breaker—exhibits distinct normal oper-ating characteristics. A statistical anomaly score that performs well for detecting step-change FDI may lack sensitivity to gradual cumulative drifts or temporal communication dropout patterns. Conversely, a temporal model trained on sequential patterns may generate false alarms during legitimate load transitions that resemble anomalous sequences [5]. No single detection mechanism provides adequate coverage across all threat categories simultaneously.</w:t>
      </w:r>
    </w:p>
    <w:p>
      <w:pPr>
        <w:pStyle w:val="BodyText"/>
        <w:spacing w:line="249" w:lineRule="auto"/>
        <w:ind w:left="199" w:right="257" w:firstLine="199"/>
        <w:jc w:val="both"/>
      </w:pPr>
      <w:r>
        <w:rPr/>
        <w:t>Audit scheduling presents a complementary challenge. </w:t>
      </w:r>
      <w:r>
        <w:rPr/>
        <w:t>Full inspection of every monitored asset at every time step is computationally and operationally infeasible. Prior work in grid</w:t>
      </w:r>
      <w:r>
        <w:rPr>
          <w:spacing w:val="38"/>
        </w:rPr>
        <w:t> </w:t>
      </w:r>
      <w:r>
        <w:rPr/>
        <w:t>security</w:t>
      </w:r>
      <w:r>
        <w:rPr>
          <w:spacing w:val="38"/>
        </w:rPr>
        <w:t> </w:t>
      </w:r>
      <w:r>
        <w:rPr/>
        <w:t>has</w:t>
      </w:r>
      <w:r>
        <w:rPr>
          <w:spacing w:val="38"/>
        </w:rPr>
        <w:t> </w:t>
      </w:r>
      <w:r>
        <w:rPr/>
        <w:t>addressed</w:t>
      </w:r>
      <w:r>
        <w:rPr>
          <w:spacing w:val="38"/>
        </w:rPr>
        <w:t> </w:t>
      </w:r>
      <w:r>
        <w:rPr/>
        <w:t>scheduling</w:t>
      </w:r>
      <w:r>
        <w:rPr>
          <w:spacing w:val="38"/>
        </w:rPr>
        <w:t> </w:t>
      </w:r>
      <w:r>
        <w:rPr/>
        <w:t>through</w:t>
      </w:r>
      <w:r>
        <w:rPr>
          <w:spacing w:val="38"/>
        </w:rPr>
        <w:t> </w:t>
      </w:r>
      <w:r>
        <w:rPr/>
        <w:t>fixed</w:t>
      </w:r>
      <w:r>
        <w:rPr>
          <w:spacing w:val="38"/>
        </w:rPr>
        <w:t> </w:t>
      </w:r>
      <w:r>
        <w:rPr/>
        <w:t>prior-ity queues [6] or single-objective Q-learning [7], neither of which incorporates the continuous cost allocation dimension that arises when audit budgets are expressed as monetary or computational constraints rather than discrete priority slots.</w:t>
      </w:r>
    </w:p>
    <w:p>
      <w:pPr>
        <w:pStyle w:val="BodyText"/>
        <w:spacing w:line="224" w:lineRule="exact"/>
        <w:ind w:left="398"/>
        <w:jc w:val="both"/>
      </w:pPr>
      <w:r>
        <w:rPr/>
        <w:t>This</w:t>
      </w:r>
      <w:r>
        <w:rPr>
          <w:spacing w:val="12"/>
        </w:rPr>
        <w:t> </w:t>
      </w:r>
      <w:r>
        <w:rPr/>
        <w:t>paper</w:t>
      </w:r>
      <w:r>
        <w:rPr>
          <w:spacing w:val="13"/>
        </w:rPr>
        <w:t> </w:t>
      </w:r>
      <w:r>
        <w:rPr/>
        <w:t>makes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following</w:t>
      </w:r>
      <w:r>
        <w:rPr>
          <w:spacing w:val="12"/>
        </w:rPr>
        <w:t> </w:t>
      </w:r>
      <w:r>
        <w:rPr/>
        <w:t>principal</w:t>
      </w:r>
      <w:r>
        <w:rPr>
          <w:spacing w:val="13"/>
        </w:rPr>
        <w:t> </w:t>
      </w:r>
      <w:r>
        <w:rPr>
          <w:spacing w:val="-2"/>
        </w:rPr>
        <w:t>contributions:</w:t>
      </w:r>
    </w:p>
    <w:p>
      <w:pPr>
        <w:pStyle w:val="ListParagraph"/>
        <w:numPr>
          <w:ilvl w:val="0"/>
          <w:numId w:val="2"/>
        </w:numPr>
        <w:tabs>
          <w:tab w:pos="598" w:val="left" w:leader="none"/>
        </w:tabs>
        <w:spacing w:line="240" w:lineRule="auto" w:before="12" w:after="0"/>
        <w:ind w:left="598" w:right="0" w:hanging="200"/>
        <w:jc w:val="both"/>
        <w:rPr>
          <w:sz w:val="20"/>
        </w:rPr>
      </w:pPr>
      <w:r>
        <w:rPr>
          <w:sz w:val="20"/>
        </w:rPr>
        <w:t>A</w:t>
      </w:r>
      <w:r>
        <w:rPr>
          <w:spacing w:val="22"/>
          <w:sz w:val="20"/>
        </w:rPr>
        <w:t> </w:t>
      </w:r>
      <w:r>
        <w:rPr>
          <w:sz w:val="20"/>
        </w:rPr>
        <w:t>four-layer</w:t>
      </w:r>
      <w:r>
        <w:rPr>
          <w:spacing w:val="22"/>
          <w:sz w:val="20"/>
        </w:rPr>
        <w:t> </w:t>
      </w:r>
      <w:r>
        <w:rPr>
          <w:sz w:val="20"/>
        </w:rPr>
        <w:t>anomaly</w:t>
      </w:r>
      <w:r>
        <w:rPr>
          <w:spacing w:val="22"/>
          <w:sz w:val="20"/>
        </w:rPr>
        <w:t> </w:t>
      </w:r>
      <w:r>
        <w:rPr>
          <w:sz w:val="20"/>
        </w:rPr>
        <w:t>detection</w:t>
      </w:r>
      <w:r>
        <w:rPr>
          <w:spacing w:val="22"/>
          <w:sz w:val="20"/>
        </w:rPr>
        <w:t> </w:t>
      </w:r>
      <w:r>
        <w:rPr>
          <w:sz w:val="20"/>
        </w:rPr>
        <w:t>pipeline</w:t>
      </w:r>
      <w:r>
        <w:rPr>
          <w:spacing w:val="22"/>
          <w:sz w:val="20"/>
        </w:rPr>
        <w:t> </w:t>
      </w:r>
      <w:r>
        <w:rPr>
          <w:sz w:val="20"/>
        </w:rPr>
        <w:t>that</w:t>
      </w:r>
      <w:r>
        <w:rPr>
          <w:spacing w:val="22"/>
          <w:sz w:val="20"/>
        </w:rPr>
        <w:t> </w:t>
      </w:r>
      <w:r>
        <w:rPr>
          <w:sz w:val="20"/>
        </w:rPr>
        <w:t>stages</w:t>
      </w:r>
      <w:r>
        <w:rPr>
          <w:spacing w:val="22"/>
          <w:sz w:val="20"/>
        </w:rPr>
        <w:t> </w:t>
      </w:r>
      <w:r>
        <w:rPr>
          <w:spacing w:val="-4"/>
          <w:sz w:val="20"/>
        </w:rPr>
        <w:t>sta-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line="249" w:lineRule="auto" w:before="71"/>
        <w:ind w:left="659"/>
        <w:jc w:val="both"/>
      </w:pPr>
      <w:r>
        <w:rPr/>
        <w:t>tistical deviation scoring, dual-branch LSTM </w:t>
      </w:r>
      <w:r>
        <w:rPr/>
        <w:t>temporal inference,</w:t>
      </w:r>
      <w:r>
        <w:rPr>
          <w:spacing w:val="-7"/>
        </w:rPr>
        <w:t> </w:t>
      </w:r>
      <w:r>
        <w:rPr/>
        <w:t>weighted</w:t>
      </w:r>
      <w:r>
        <w:rPr>
          <w:spacing w:val="-7"/>
        </w:rPr>
        <w:t> </w:t>
      </w:r>
      <w:r>
        <w:rPr/>
        <w:t>ensemble</w:t>
      </w:r>
      <w:r>
        <w:rPr>
          <w:spacing w:val="-7"/>
        </w:rPr>
        <w:t> </w:t>
      </w:r>
      <w:r>
        <w:rPr/>
        <w:t>fusion,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three-detector attack-specific classification module within a single op-erational pipeline.</w:t>
      </w:r>
    </w:p>
    <w:p>
      <w:pPr>
        <w:pStyle w:val="ListParagraph"/>
        <w:numPr>
          <w:ilvl w:val="0"/>
          <w:numId w:val="2"/>
        </w:numPr>
        <w:tabs>
          <w:tab w:pos="657" w:val="left" w:leader="none"/>
          <w:tab w:pos="659" w:val="left" w:leader="none"/>
        </w:tabs>
        <w:spacing w:line="249" w:lineRule="auto" w:before="0" w:after="0"/>
        <w:ind w:left="659" w:right="0" w:hanging="202"/>
        <w:jc w:val="both"/>
        <w:rPr>
          <w:sz w:val="20"/>
        </w:rPr>
      </w:pPr>
      <w:r>
        <w:rPr>
          <w:sz w:val="20"/>
        </w:rPr>
        <w:t>A hybrid audit scheduler combining Q-learning for </w:t>
      </w:r>
      <w:r>
        <w:rPr>
          <w:sz w:val="20"/>
        </w:rPr>
        <w:t>dis-crete escalation action selection with gradient-based cost optimisation for continuous audit budget allocation.</w:t>
      </w:r>
    </w:p>
    <w:p>
      <w:pPr>
        <w:pStyle w:val="ListParagraph"/>
        <w:numPr>
          <w:ilvl w:val="0"/>
          <w:numId w:val="2"/>
        </w:numPr>
        <w:tabs>
          <w:tab w:pos="657" w:val="left" w:leader="none"/>
          <w:tab w:pos="659" w:val="left" w:leader="none"/>
        </w:tabs>
        <w:spacing w:line="249" w:lineRule="auto" w:before="0" w:after="0"/>
        <w:ind w:left="659" w:right="0" w:hanging="202"/>
        <w:jc w:val="both"/>
        <w:rPr>
          <w:sz w:val="20"/>
        </w:rPr>
      </w:pPr>
      <w:r>
        <w:rPr>
          <w:sz w:val="20"/>
        </w:rPr>
        <w:t>End-to-end integration with Rapid SCADA </w:t>
      </w:r>
      <w:r>
        <w:rPr>
          <w:sz w:val="20"/>
        </w:rPr>
        <w:t>supervisory infrastructure covering 100 heterogeneous grid agents, with a Next.js dashboard providing per-agent visibility across eight operational views including explainability.</w:t>
      </w:r>
    </w:p>
    <w:p>
      <w:pPr>
        <w:pStyle w:val="ListParagraph"/>
        <w:numPr>
          <w:ilvl w:val="0"/>
          <w:numId w:val="2"/>
        </w:numPr>
        <w:tabs>
          <w:tab w:pos="657" w:val="left" w:leader="none"/>
          <w:tab w:pos="659" w:val="left" w:leader="none"/>
        </w:tabs>
        <w:spacing w:line="249" w:lineRule="auto" w:before="0" w:after="0"/>
        <w:ind w:left="659" w:right="0" w:hanging="202"/>
        <w:jc w:val="both"/>
        <w:rPr>
          <w:sz w:val="20"/>
        </w:rPr>
      </w:pPr>
      <w:r>
        <w:rPr>
          <w:sz w:val="20"/>
        </w:rPr>
        <w:t>A rigorous five-method comparative evaluation </w:t>
      </w:r>
      <w:r>
        <w:rPr>
          <w:sz w:val="20"/>
        </w:rPr>
        <w:t>demon-strating superior performance across accuracy, F1 score, recall, precision, and false positive rate, together with scalability and latency characterisation at 100, 200, and 500 agents.</w:t>
      </w:r>
    </w:p>
    <w:p>
      <w:pPr>
        <w:pStyle w:val="BodyText"/>
        <w:spacing w:line="249" w:lineRule="auto" w:before="36"/>
        <w:ind w:left="259" w:firstLine="199"/>
        <w:jc w:val="both"/>
      </w:pPr>
      <w:r>
        <w:rPr/>
        <w:t>The remainder of this paper is organised as follows. </w:t>
      </w:r>
      <w:r>
        <w:rPr/>
        <w:t>Sec-tion II surveys related work. Section III describes the system architecture. Section IV details the implementation. Section V presents the experimental evaluation. Section VI discusses findings and limitations. Section VII concludes with future work directions.</w:t>
      </w:r>
    </w:p>
    <w:p>
      <w:pPr>
        <w:pStyle w:val="ListParagraph"/>
        <w:numPr>
          <w:ilvl w:val="0"/>
          <w:numId w:val="1"/>
        </w:numPr>
        <w:tabs>
          <w:tab w:pos="2199" w:val="left" w:leader="none"/>
        </w:tabs>
        <w:spacing w:line="240" w:lineRule="auto" w:before="128" w:after="0"/>
        <w:ind w:left="2199" w:right="0" w:hanging="289"/>
        <w:jc w:val="left"/>
        <w:rPr>
          <w:sz w:val="20"/>
        </w:rPr>
      </w:pPr>
      <w:r>
        <w:rPr>
          <w:smallCaps/>
          <w:sz w:val="20"/>
        </w:rPr>
        <w:t>Related</w:t>
      </w:r>
      <w:r>
        <w:rPr>
          <w:smallCaps/>
          <w:spacing w:val="48"/>
          <w:sz w:val="20"/>
        </w:rPr>
        <w:t> </w:t>
      </w:r>
      <w:r>
        <w:rPr>
          <w:smallCaps/>
          <w:spacing w:val="-4"/>
          <w:sz w:val="20"/>
        </w:rPr>
        <w:t>Work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40" w:lineRule="auto" w:before="71" w:after="0"/>
        <w:ind w:left="529" w:right="0" w:hanging="270"/>
        <w:jc w:val="both"/>
        <w:rPr>
          <w:i/>
          <w:sz w:val="20"/>
        </w:rPr>
      </w:pPr>
      <w:r>
        <w:rPr>
          <w:i/>
          <w:sz w:val="20"/>
        </w:rPr>
        <w:t>Statistical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Threshold-Based</w:t>
      </w:r>
      <w:r>
        <w:rPr>
          <w:i/>
          <w:spacing w:val="8"/>
          <w:sz w:val="20"/>
        </w:rPr>
        <w:t> </w:t>
      </w:r>
      <w:r>
        <w:rPr>
          <w:i/>
          <w:spacing w:val="-2"/>
          <w:sz w:val="20"/>
        </w:rPr>
        <w:t>Detection</w:t>
      </w:r>
    </w:p>
    <w:p>
      <w:pPr>
        <w:pStyle w:val="BodyText"/>
        <w:spacing w:line="249" w:lineRule="auto" w:before="71"/>
        <w:ind w:left="259" w:firstLine="199"/>
        <w:jc w:val="both"/>
      </w:pPr>
      <w:r>
        <w:rPr/>
        <w:t>The foundation of grid anomaly detection lies in bad </w:t>
      </w:r>
      <w:r>
        <w:rPr/>
        <w:t>data detection (BDD) residual methods applied to weighted least squares</w:t>
      </w:r>
      <w:r>
        <w:rPr>
          <w:spacing w:val="-6"/>
        </w:rPr>
        <w:t> </w:t>
      </w:r>
      <w:r>
        <w:rPr/>
        <w:t>state</w:t>
      </w:r>
      <w:r>
        <w:rPr>
          <w:spacing w:val="-6"/>
        </w:rPr>
        <w:t> </w:t>
      </w:r>
      <w:r>
        <w:rPr/>
        <w:t>estimation.</w:t>
      </w:r>
      <w:r>
        <w:rPr>
          <w:spacing w:val="-6"/>
        </w:rPr>
        <w:t> </w:t>
      </w:r>
      <w:r>
        <w:rPr/>
        <w:t>Liu</w:t>
      </w:r>
      <w:r>
        <w:rPr>
          <w:spacing w:val="-6"/>
        </w:rPr>
        <w:t> </w:t>
      </w:r>
      <w:r>
        <w:rPr>
          <w:i/>
        </w:rPr>
        <w:t>et</w:t>
      </w:r>
      <w:r>
        <w:rPr>
          <w:i/>
          <w:spacing w:val="-6"/>
        </w:rPr>
        <w:t> </w:t>
      </w:r>
      <w:r>
        <w:rPr>
          <w:i/>
        </w:rPr>
        <w:t>al.</w:t>
      </w:r>
      <w:r>
        <w:rPr>
          <w:i/>
          <w:spacing w:val="-6"/>
        </w:rPr>
        <w:t> </w:t>
      </w:r>
      <w:r>
        <w:rPr/>
        <w:t>[2]</w:t>
      </w:r>
      <w:r>
        <w:rPr>
          <w:spacing w:val="-6"/>
        </w:rPr>
        <w:t> </w:t>
      </w:r>
      <w:r>
        <w:rPr/>
        <w:t>established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class of undetectable FDI attacks corresponds exactly to vectors lying in the column space of the measurement Jacobian, showing that any attack satisfying this algebraic condition passes the chi-squared BDD test without triggering an alarm. Giani </w:t>
      </w:r>
      <w:r>
        <w:rPr>
          <w:i/>
        </w:rPr>
        <w:t>et al. </w:t>
      </w:r>
      <w:r>
        <w:rPr/>
        <w:t>[4] extended this analysis to PMU-augmented topologies, characterising structural conditions under which integrity attacks remain undetectable even with the increased observability that PMUs provide.</w:t>
      </w:r>
    </w:p>
    <w:p>
      <w:pPr>
        <w:pStyle w:val="BodyText"/>
        <w:spacing w:line="249" w:lineRule="auto"/>
        <w:ind w:left="259" w:firstLine="199"/>
        <w:jc w:val="both"/>
      </w:pPr>
      <w:r>
        <w:rPr/>
        <w:t>Control</w:t>
      </w:r>
      <w:r>
        <w:rPr>
          <w:spacing w:val="-13"/>
        </w:rPr>
        <w:t> </w:t>
      </w:r>
      <w:r>
        <w:rPr/>
        <w:t>chart</w:t>
      </w:r>
      <w:r>
        <w:rPr>
          <w:spacing w:val="-12"/>
        </w:rPr>
        <w:t> </w:t>
      </w:r>
      <w:r>
        <w:rPr/>
        <w:t>methods,</w:t>
      </w:r>
      <w:r>
        <w:rPr>
          <w:spacing w:val="-13"/>
        </w:rPr>
        <w:t> </w:t>
      </w:r>
      <w:r>
        <w:rPr/>
        <w:t>including</w:t>
      </w:r>
      <w:r>
        <w:rPr>
          <w:spacing w:val="-12"/>
        </w:rPr>
        <w:t> </w:t>
      </w:r>
      <w:r>
        <w:rPr/>
        <w:t>cumulative</w:t>
      </w:r>
      <w:r>
        <w:rPr>
          <w:spacing w:val="-13"/>
        </w:rPr>
        <w:t> </w:t>
      </w:r>
      <w:r>
        <w:rPr/>
        <w:t>sum</w:t>
      </w:r>
      <w:r>
        <w:rPr>
          <w:spacing w:val="-12"/>
        </w:rPr>
        <w:t> </w:t>
      </w:r>
      <w:r>
        <w:rPr/>
        <w:t>(CUSUM) and exponentially weighted moving average (EWMA) tech-niques, offer sequential detection of persistent measurement shifts. These methods are well-suited to detecting FDI attacks that introduce gradual biases, but they operate on individual sensor</w:t>
      </w:r>
      <w:r>
        <w:rPr>
          <w:spacing w:val="-5"/>
        </w:rPr>
        <w:t> </w:t>
      </w:r>
      <w:r>
        <w:rPr/>
        <w:t>streams</w:t>
      </w:r>
      <w:r>
        <w:rPr>
          <w:spacing w:val="-5"/>
        </w:rPr>
        <w:t> </w:t>
      </w:r>
      <w:r>
        <w:rPr/>
        <w:t>without</w:t>
      </w:r>
      <w:r>
        <w:rPr>
          <w:spacing w:val="-5"/>
        </w:rPr>
        <w:t> </w:t>
      </w:r>
      <w:r>
        <w:rPr/>
        <w:t>cross-agent</w:t>
      </w:r>
      <w:r>
        <w:rPr>
          <w:spacing w:val="-5"/>
        </w:rPr>
        <w:t> </w:t>
      </w:r>
      <w:r>
        <w:rPr/>
        <w:t>contextual</w:t>
      </w:r>
      <w:r>
        <w:rPr>
          <w:spacing w:val="-5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and do not address the classification of DoS or MITM attack </w:t>
      </w:r>
      <w:r>
        <w:rPr>
          <w:spacing w:val="-2"/>
        </w:rPr>
        <w:t>categories.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40" w:lineRule="auto" w:before="127" w:after="0"/>
        <w:ind w:left="529" w:right="0" w:hanging="270"/>
        <w:jc w:val="both"/>
        <w:rPr>
          <w:i/>
          <w:sz w:val="20"/>
        </w:rPr>
      </w:pPr>
      <w:r>
        <w:rPr>
          <w:i/>
          <w:sz w:val="20"/>
        </w:rPr>
        <w:t>Machine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Learning</w:t>
      </w:r>
      <w:r>
        <w:rPr>
          <w:i/>
          <w:spacing w:val="10"/>
          <w:sz w:val="20"/>
        </w:rPr>
        <w:t> </w:t>
      </w:r>
      <w:r>
        <w:rPr>
          <w:i/>
          <w:spacing w:val="-2"/>
          <w:sz w:val="20"/>
        </w:rPr>
        <w:t>Approaches</w:t>
      </w:r>
    </w:p>
    <w:p>
      <w:pPr>
        <w:pStyle w:val="BodyText"/>
        <w:spacing w:line="249" w:lineRule="auto" w:before="71"/>
        <w:ind w:left="259" w:firstLine="199"/>
        <w:jc w:val="both"/>
      </w:pPr>
      <w:r>
        <w:rPr/>
        <w:t>Shallow machine learning methods for grid anomaly </w:t>
      </w:r>
      <w:r>
        <w:rPr/>
        <w:t>detec-tion include support vector machines applied to engineered statistical</w:t>
      </w:r>
      <w:r>
        <w:rPr>
          <w:spacing w:val="-1"/>
        </w:rPr>
        <w:t> </w:t>
      </w:r>
      <w:r>
        <w:rPr/>
        <w:t>features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random forests</w:t>
      </w:r>
      <w:r>
        <w:rPr>
          <w:spacing w:val="-1"/>
        </w:rPr>
        <w:t> </w:t>
      </w:r>
      <w:r>
        <w:rPr/>
        <w:t>applied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measurement difference</w:t>
      </w:r>
      <w:r>
        <w:rPr>
          <w:spacing w:val="-3"/>
        </w:rPr>
        <w:t> </w:t>
      </w:r>
      <w:r>
        <w:rPr/>
        <w:t>vectors</w:t>
      </w:r>
      <w:r>
        <w:rPr>
          <w:spacing w:val="-3"/>
        </w:rPr>
        <w:t> </w:t>
      </w:r>
      <w:r>
        <w:rPr/>
        <w:t>[6].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methods</w:t>
      </w:r>
      <w:r>
        <w:rPr>
          <w:spacing w:val="-3"/>
        </w:rPr>
        <w:t> </w:t>
      </w:r>
      <w:r>
        <w:rPr/>
        <w:t>require</w:t>
      </w:r>
      <w:r>
        <w:rPr>
          <w:spacing w:val="-3"/>
        </w:rPr>
        <w:t> </w:t>
      </w:r>
      <w:r>
        <w:rPr/>
        <w:t>labelled</w:t>
      </w:r>
      <w:r>
        <w:rPr>
          <w:spacing w:val="-3"/>
        </w:rPr>
        <w:t> </w:t>
      </w:r>
      <w:r>
        <w:rPr/>
        <w:t>training data, which is difficult to obtain at scale in operational grid environments,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engineered</w:t>
      </w:r>
      <w:r>
        <w:rPr>
          <w:spacing w:val="-9"/>
        </w:rPr>
        <w:t> </w:t>
      </w:r>
      <w:r>
        <w:rPr/>
        <w:t>features</w:t>
      </w:r>
      <w:r>
        <w:rPr>
          <w:spacing w:val="-9"/>
        </w:rPr>
        <w:t> </w:t>
      </w:r>
      <w:r>
        <w:rPr/>
        <w:t>they</w:t>
      </w:r>
      <w:r>
        <w:rPr>
          <w:spacing w:val="-9"/>
        </w:rPr>
        <w:t> </w:t>
      </w:r>
      <w:r>
        <w:rPr/>
        <w:t>depend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may not generalise across different grid topologies.</w:t>
      </w:r>
    </w:p>
    <w:p>
      <w:pPr>
        <w:pStyle w:val="BodyText"/>
        <w:spacing w:line="249" w:lineRule="auto"/>
        <w:ind w:left="259" w:firstLine="199"/>
        <w:jc w:val="both"/>
      </w:pPr>
      <w:r>
        <w:rPr/>
        <w:t>Isolation Forest [8] provides unsupervised anomaly </w:t>
      </w:r>
      <w:r>
        <w:rPr/>
        <w:t>scoring through random recursive axis-aligned partitioning of the measurement</w:t>
      </w:r>
      <w:r>
        <w:rPr>
          <w:spacing w:val="13"/>
        </w:rPr>
        <w:t> </w:t>
      </w:r>
      <w:r>
        <w:rPr/>
        <w:t>space.</w:t>
      </w:r>
      <w:r>
        <w:rPr>
          <w:spacing w:val="13"/>
        </w:rPr>
        <w:t> </w:t>
      </w:r>
      <w:r>
        <w:rPr/>
        <w:t>While</w:t>
      </w:r>
      <w:r>
        <w:rPr>
          <w:spacing w:val="13"/>
        </w:rPr>
        <w:t> </w:t>
      </w:r>
      <w:r>
        <w:rPr/>
        <w:t>computationally</w:t>
      </w:r>
      <w:r>
        <w:rPr>
          <w:spacing w:val="14"/>
        </w:rPr>
        <w:t> </w:t>
      </w:r>
      <w:r>
        <w:rPr/>
        <w:t>efficient</w:t>
      </w:r>
      <w:r>
        <w:rPr>
          <w:spacing w:val="13"/>
        </w:rPr>
        <w:t> </w:t>
      </w:r>
      <w:r>
        <w:rPr/>
        <w:t>and</w:t>
      </w:r>
      <w:r>
        <w:rPr>
          <w:spacing w:val="13"/>
        </w:rPr>
        <w:t> </w:t>
      </w:r>
      <w:r>
        <w:rPr>
          <w:spacing w:val="-4"/>
        </w:rPr>
        <w:t>free</w:t>
      </w:r>
    </w:p>
    <w:p>
      <w:pPr>
        <w:pStyle w:val="BodyText"/>
        <w:spacing w:line="249" w:lineRule="auto" w:before="71"/>
        <w:ind w:left="199" w:right="257"/>
        <w:jc w:val="both"/>
      </w:pPr>
      <w:r>
        <w:rPr/>
        <w:br w:type="column"/>
      </w:r>
      <w:r>
        <w:rPr/>
        <w:t>of distributional assumptions, Isolation Forest does not </w:t>
      </w:r>
      <w:r>
        <w:rPr/>
        <w:t>model temporal</w:t>
      </w:r>
      <w:r>
        <w:rPr>
          <w:spacing w:val="40"/>
        </w:rPr>
        <w:t> </w:t>
      </w:r>
      <w:r>
        <w:rPr/>
        <w:t>structure,</w:t>
      </w:r>
      <w:r>
        <w:rPr>
          <w:spacing w:val="40"/>
        </w:rPr>
        <w:t> </w:t>
      </w:r>
      <w:r>
        <w:rPr/>
        <w:t>making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insensitive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slowly</w:t>
      </w:r>
      <w:r>
        <w:rPr>
          <w:spacing w:val="40"/>
        </w:rPr>
        <w:t> </w:t>
      </w:r>
      <w:r>
        <w:rPr/>
        <w:t>evolv-ing attack sequences or periodic communication disruption patterns. One-Class SVM [9] characterises the support of normal operation in a reproducing kernel Hilbert space and flags</w:t>
      </w:r>
      <w:r>
        <w:rPr>
          <w:spacing w:val="38"/>
        </w:rPr>
        <w:t> </w:t>
      </w:r>
      <w:r>
        <w:rPr/>
        <w:t>observations</w:t>
      </w:r>
      <w:r>
        <w:rPr>
          <w:spacing w:val="38"/>
        </w:rPr>
        <w:t> </w:t>
      </w:r>
      <w:r>
        <w:rPr/>
        <w:t>falling</w:t>
      </w:r>
      <w:r>
        <w:rPr>
          <w:spacing w:val="38"/>
        </w:rPr>
        <w:t> </w:t>
      </w:r>
      <w:r>
        <w:rPr/>
        <w:t>outside</w:t>
      </w:r>
      <w:r>
        <w:rPr>
          <w:spacing w:val="38"/>
        </w:rPr>
        <w:t> </w:t>
      </w:r>
      <w:r>
        <w:rPr/>
        <w:t>that</w:t>
      </w:r>
      <w:r>
        <w:rPr>
          <w:spacing w:val="38"/>
        </w:rPr>
        <w:t> </w:t>
      </w:r>
      <w:r>
        <w:rPr/>
        <w:t>support.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method is sensitive to kernel selection, exhibits quadratic training complexity, and degrades substantially under class imbalance </w:t>
      </w:r>
      <w:r>
        <w:rPr>
          <w:spacing w:val="-2"/>
        </w:rPr>
        <w:t>[10].</w:t>
      </w:r>
    </w:p>
    <w:p>
      <w:pPr>
        <w:pStyle w:val="ListParagraph"/>
        <w:numPr>
          <w:ilvl w:val="0"/>
          <w:numId w:val="3"/>
        </w:numPr>
        <w:tabs>
          <w:tab w:pos="480" w:val="left" w:leader="none"/>
        </w:tabs>
        <w:spacing w:line="240" w:lineRule="auto" w:before="150" w:after="0"/>
        <w:ind w:left="480" w:right="0" w:hanging="281"/>
        <w:jc w:val="both"/>
        <w:rPr>
          <w:i/>
          <w:sz w:val="20"/>
        </w:rPr>
      </w:pPr>
      <w:r>
        <w:rPr>
          <w:i/>
          <w:sz w:val="20"/>
        </w:rPr>
        <w:t>Deep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Learning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Sequential</w:t>
      </w:r>
      <w:r>
        <w:rPr>
          <w:i/>
          <w:spacing w:val="14"/>
          <w:sz w:val="20"/>
        </w:rPr>
        <w:t> </w:t>
      </w:r>
      <w:r>
        <w:rPr>
          <w:i/>
          <w:spacing w:val="-2"/>
          <w:sz w:val="20"/>
        </w:rPr>
        <w:t>Modelling</w:t>
      </w:r>
    </w:p>
    <w:p>
      <w:pPr>
        <w:pStyle w:val="BodyText"/>
        <w:spacing w:line="249" w:lineRule="auto" w:before="79"/>
        <w:ind w:left="199" w:right="257" w:firstLine="199"/>
        <w:jc w:val="both"/>
      </w:pPr>
      <w:r>
        <w:rPr/>
        <w:t>LSTM networks have been applied to smart grid </w:t>
      </w:r>
      <w:r>
        <w:rPr/>
        <w:t>telemetry sequences to detect deviations from learned normal temporal patterns [11]. The temporal receptive field of an LSTM en-ables it to capture multi-step correlations that instantaneous statistical scores miss. Practical applications include detection of coordinated attacks on multiple substations that individ-ually appear within normal operating bounds but collectively represent</w:t>
      </w:r>
      <w:r>
        <w:rPr>
          <w:spacing w:val="-8"/>
        </w:rPr>
        <w:t> </w:t>
      </w:r>
      <w:r>
        <w:rPr/>
        <w:t>statistically</w:t>
      </w:r>
      <w:r>
        <w:rPr>
          <w:spacing w:val="-8"/>
        </w:rPr>
        <w:t> </w:t>
      </w:r>
      <w:r>
        <w:rPr/>
        <w:t>improbable</w:t>
      </w:r>
      <w:r>
        <w:rPr>
          <w:spacing w:val="-8"/>
        </w:rPr>
        <w:t> </w:t>
      </w:r>
      <w:r>
        <w:rPr/>
        <w:t>joint</w:t>
      </w:r>
      <w:r>
        <w:rPr>
          <w:spacing w:val="-8"/>
        </w:rPr>
        <w:t> </w:t>
      </w:r>
      <w:r>
        <w:rPr/>
        <w:t>deviations</w:t>
      </w:r>
      <w:r>
        <w:rPr>
          <w:spacing w:val="-8"/>
        </w:rPr>
        <w:t> </w:t>
      </w:r>
      <w:r>
        <w:rPr/>
        <w:t>[12].</w:t>
      </w:r>
      <w:r>
        <w:rPr>
          <w:spacing w:val="-8"/>
        </w:rPr>
        <w:t> </w:t>
      </w:r>
      <w:r>
        <w:rPr/>
        <w:t>Convo-lutional</w:t>
      </w:r>
      <w:r>
        <w:rPr>
          <w:spacing w:val="-2"/>
        </w:rPr>
        <w:t> </w:t>
      </w:r>
      <w:r>
        <w:rPr/>
        <w:t>neural</w:t>
      </w:r>
      <w:r>
        <w:rPr>
          <w:spacing w:val="-2"/>
        </w:rPr>
        <w:t> </w:t>
      </w:r>
      <w:r>
        <w:rPr/>
        <w:t>networks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been</w:t>
      </w:r>
      <w:r>
        <w:rPr>
          <w:spacing w:val="-3"/>
        </w:rPr>
        <w:t> </w:t>
      </w:r>
      <w:r>
        <w:rPr/>
        <w:t>combined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LSTM architectures for PMU event classification [13].</w:t>
      </w:r>
    </w:p>
    <w:p>
      <w:pPr>
        <w:pStyle w:val="BodyText"/>
        <w:spacing w:line="249" w:lineRule="auto" w:before="1"/>
        <w:ind w:left="199" w:right="257" w:firstLine="199"/>
        <w:jc w:val="both"/>
      </w:pPr>
      <w:r>
        <w:rPr/>
        <w:t>A fundamental limitation of LSTM-only approaches is </w:t>
      </w:r>
      <w:r>
        <w:rPr/>
        <w:t>that they do not natively provide category-level classification of distinct attack types. An LSTM trained to detect anomalies cannot inherently distinguish an FDI campaign from a DoS disruption without additional architectural structure, as both appear as deviations from normal temporal patterns.</w:t>
      </w:r>
    </w:p>
    <w:p>
      <w:pPr>
        <w:pStyle w:val="ListParagraph"/>
        <w:numPr>
          <w:ilvl w:val="0"/>
          <w:numId w:val="3"/>
        </w:numPr>
        <w:tabs>
          <w:tab w:pos="491" w:val="left" w:leader="none"/>
        </w:tabs>
        <w:spacing w:line="240" w:lineRule="auto" w:before="150" w:after="0"/>
        <w:ind w:left="491" w:right="0" w:hanging="292"/>
        <w:jc w:val="both"/>
        <w:rPr>
          <w:i/>
          <w:sz w:val="20"/>
        </w:rPr>
      </w:pPr>
      <w:r>
        <w:rPr>
          <w:i/>
          <w:sz w:val="20"/>
        </w:rPr>
        <w:t>Reinforcement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Learning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Audit</w:t>
      </w:r>
      <w:r>
        <w:rPr>
          <w:i/>
          <w:spacing w:val="10"/>
          <w:sz w:val="20"/>
        </w:rPr>
        <w:t> </w:t>
      </w:r>
      <w:r>
        <w:rPr>
          <w:i/>
          <w:spacing w:val="-2"/>
          <w:sz w:val="20"/>
        </w:rPr>
        <w:t>Scheduling</w:t>
      </w:r>
    </w:p>
    <w:p>
      <w:pPr>
        <w:pStyle w:val="BodyText"/>
        <w:spacing w:line="249" w:lineRule="auto" w:before="79"/>
        <w:ind w:left="199" w:right="257" w:firstLine="199"/>
        <w:jc w:val="both"/>
      </w:pPr>
      <w:r>
        <w:rPr/>
        <w:t>Watkins and Dayan [14] established the Q-learning </w:t>
      </w:r>
      <w:r>
        <w:rPr/>
        <w:t>conver-gence</w:t>
      </w:r>
      <w:r>
        <w:rPr>
          <w:spacing w:val="-3"/>
        </w:rPr>
        <w:t> </w:t>
      </w:r>
      <w:r>
        <w:rPr/>
        <w:t>guarantee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finite</w:t>
      </w:r>
      <w:r>
        <w:rPr>
          <w:spacing w:val="-3"/>
        </w:rPr>
        <w:t> </w:t>
      </w:r>
      <w:r>
        <w:rPr/>
        <w:t>Markov</w:t>
      </w:r>
      <w:r>
        <w:rPr>
          <w:spacing w:val="-3"/>
        </w:rPr>
        <w:t> </w:t>
      </w:r>
      <w:r>
        <w:rPr/>
        <w:t>decision</w:t>
      </w:r>
      <w:r>
        <w:rPr>
          <w:spacing w:val="-3"/>
        </w:rPr>
        <w:t> </w:t>
      </w:r>
      <w:r>
        <w:rPr/>
        <w:t>processes.</w:t>
      </w:r>
      <w:r>
        <w:rPr>
          <w:spacing w:val="-3"/>
        </w:rPr>
        <w:t> </w:t>
      </w:r>
      <w:r>
        <w:rPr/>
        <w:t>Ibrahim and Elhafiz [7] applied Q-learning to dynamic cyber-physical security analysis, demonstrating adaptive behaviour under shifting</w:t>
      </w:r>
      <w:r>
        <w:rPr>
          <w:spacing w:val="-12"/>
        </w:rPr>
        <w:t> </w:t>
      </w:r>
      <w:r>
        <w:rPr/>
        <w:t>threat</w:t>
      </w:r>
      <w:r>
        <w:rPr>
          <w:spacing w:val="-12"/>
        </w:rPr>
        <w:t> </w:t>
      </w:r>
      <w:r>
        <w:rPr/>
        <w:t>distributions.</w:t>
      </w:r>
      <w:r>
        <w:rPr>
          <w:spacing w:val="-12"/>
        </w:rPr>
        <w:t> </w:t>
      </w:r>
      <w:r>
        <w:rPr/>
        <w:t>However,</w:t>
      </w:r>
      <w:r>
        <w:rPr>
          <w:spacing w:val="-12"/>
        </w:rPr>
        <w:t> </w:t>
      </w:r>
      <w:r>
        <w:rPr/>
        <w:t>discrete</w:t>
      </w:r>
      <w:r>
        <w:rPr>
          <w:spacing w:val="-12"/>
        </w:rPr>
        <w:t> </w:t>
      </w:r>
      <w:r>
        <w:rPr/>
        <w:t>Q-learning</w:t>
      </w:r>
      <w:r>
        <w:rPr>
          <w:spacing w:val="-12"/>
        </w:rPr>
        <w:t> </w:t>
      </w:r>
      <w:r>
        <w:rPr/>
        <w:t>does not address continuous cost allocation across heterogeneous agents under per-cycle budget constraints, requiring a com-plementary</w:t>
      </w:r>
      <w:r>
        <w:rPr>
          <w:spacing w:val="4"/>
        </w:rPr>
        <w:t> </w:t>
      </w:r>
      <w:r>
        <w:rPr/>
        <w:t>optimisation</w:t>
      </w:r>
      <w:r>
        <w:rPr>
          <w:spacing w:val="5"/>
        </w:rPr>
        <w:t> </w:t>
      </w:r>
      <w:r>
        <w:rPr/>
        <w:t>mechanism</w:t>
      </w:r>
      <w:r>
        <w:rPr>
          <w:spacing w:val="4"/>
        </w:rPr>
        <w:t> </w:t>
      </w:r>
      <w:r>
        <w:rPr/>
        <w:t>for</w:t>
      </w:r>
      <w:r>
        <w:rPr>
          <w:spacing w:val="5"/>
        </w:rPr>
        <w:t> </w:t>
      </w:r>
      <w:r>
        <w:rPr/>
        <w:t>practical</w:t>
      </w:r>
      <w:r>
        <w:rPr>
          <w:spacing w:val="4"/>
        </w:rPr>
        <w:t> </w:t>
      </w:r>
      <w:r>
        <w:rPr>
          <w:spacing w:val="-2"/>
        </w:rPr>
        <w:t>deployment.</w:t>
      </w:r>
    </w:p>
    <w:p>
      <w:pPr>
        <w:pStyle w:val="ListParagraph"/>
        <w:numPr>
          <w:ilvl w:val="0"/>
          <w:numId w:val="3"/>
        </w:numPr>
        <w:tabs>
          <w:tab w:pos="469" w:val="left" w:leader="none"/>
        </w:tabs>
        <w:spacing w:line="240" w:lineRule="auto" w:before="150" w:after="0"/>
        <w:ind w:left="469" w:right="0" w:hanging="270"/>
        <w:jc w:val="both"/>
        <w:rPr>
          <w:i/>
          <w:sz w:val="20"/>
        </w:rPr>
      </w:pPr>
      <w:r>
        <w:rPr>
          <w:i/>
          <w:sz w:val="20"/>
        </w:rPr>
        <w:t>Explainability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Cyber-Physical</w:t>
      </w:r>
      <w:r>
        <w:rPr>
          <w:i/>
          <w:spacing w:val="9"/>
          <w:sz w:val="20"/>
        </w:rPr>
        <w:t> </w:t>
      </w:r>
      <w:r>
        <w:rPr>
          <w:i/>
          <w:spacing w:val="-2"/>
          <w:sz w:val="20"/>
        </w:rPr>
        <w:t>Systems</w:t>
      </w:r>
    </w:p>
    <w:p>
      <w:pPr>
        <w:pStyle w:val="BodyText"/>
        <w:spacing w:line="249" w:lineRule="auto" w:before="78"/>
        <w:ind w:left="199" w:right="257" w:firstLine="199"/>
        <w:jc w:val="both"/>
      </w:pPr>
      <w:r>
        <w:rPr/>
        <w:t>Explainable AI (XAI) methods for intrusion detection </w:t>
      </w:r>
      <w:r>
        <w:rPr/>
        <w:t>have focused</w:t>
      </w:r>
      <w:r>
        <w:rPr>
          <w:spacing w:val="-13"/>
        </w:rPr>
        <w:t> </w:t>
      </w:r>
      <w:r>
        <w:rPr/>
        <w:t>on</w:t>
      </w:r>
      <w:r>
        <w:rPr>
          <w:spacing w:val="-12"/>
        </w:rPr>
        <w:t> </w:t>
      </w:r>
      <w:r>
        <w:rPr/>
        <w:t>post-hoc</w:t>
      </w:r>
      <w:r>
        <w:rPr>
          <w:spacing w:val="-13"/>
        </w:rPr>
        <w:t> </w:t>
      </w:r>
      <w:r>
        <w:rPr/>
        <w:t>feature</w:t>
      </w:r>
      <w:r>
        <w:rPr>
          <w:spacing w:val="-12"/>
        </w:rPr>
        <w:t> </w:t>
      </w:r>
      <w:r>
        <w:rPr/>
        <w:t>attribution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black-box</w:t>
      </w:r>
      <w:r>
        <w:rPr>
          <w:spacing w:val="-13"/>
        </w:rPr>
        <w:t> </w:t>
      </w:r>
      <w:r>
        <w:rPr/>
        <w:t>classifiers [15]. Operational explainability—providing per-agent, per-feature contribution rankings in real time through an operator dashboard—has not been the focus of previous smart grid security frameworks. The present work addresses this gap alongside the multi-layer detection and hybrid scheduling extensions described above.</w:t>
      </w:r>
    </w:p>
    <w:p>
      <w:pPr>
        <w:pStyle w:val="ListParagraph"/>
        <w:numPr>
          <w:ilvl w:val="0"/>
          <w:numId w:val="1"/>
        </w:numPr>
        <w:tabs>
          <w:tab w:pos="1824" w:val="left" w:leader="none"/>
        </w:tabs>
        <w:spacing w:line="240" w:lineRule="auto" w:before="150" w:after="0"/>
        <w:ind w:left="1824" w:right="0" w:hanging="364"/>
        <w:jc w:val="left"/>
        <w:rPr>
          <w:sz w:val="20"/>
        </w:rPr>
      </w:pPr>
      <w:r>
        <w:rPr>
          <w:smallCaps/>
          <w:sz w:val="20"/>
        </w:rPr>
        <w:t>System</w:t>
      </w:r>
      <w:r>
        <w:rPr>
          <w:smallCaps/>
          <w:spacing w:val="57"/>
          <w:sz w:val="20"/>
        </w:rPr>
        <w:t> </w:t>
      </w:r>
      <w:r>
        <w:rPr>
          <w:smallCaps/>
          <w:spacing w:val="-2"/>
          <w:sz w:val="20"/>
        </w:rPr>
        <w:t>Architecture</w:t>
      </w:r>
    </w:p>
    <w:p>
      <w:pPr>
        <w:pStyle w:val="ListParagraph"/>
        <w:numPr>
          <w:ilvl w:val="0"/>
          <w:numId w:val="4"/>
        </w:numPr>
        <w:tabs>
          <w:tab w:pos="469" w:val="left" w:leader="none"/>
        </w:tabs>
        <w:spacing w:line="240" w:lineRule="auto" w:before="84" w:after="0"/>
        <w:ind w:left="469" w:right="0" w:hanging="270"/>
        <w:jc w:val="both"/>
        <w:rPr>
          <w:i/>
          <w:sz w:val="20"/>
        </w:rPr>
      </w:pPr>
      <w:r>
        <w:rPr>
          <w:i/>
          <w:spacing w:val="-2"/>
          <w:sz w:val="20"/>
        </w:rPr>
        <w:t>Architecture</w:t>
      </w:r>
      <w:r>
        <w:rPr>
          <w:i/>
          <w:spacing w:val="14"/>
          <w:sz w:val="20"/>
        </w:rPr>
        <w:t> </w:t>
      </w:r>
      <w:r>
        <w:rPr>
          <w:i/>
          <w:spacing w:val="-2"/>
          <w:sz w:val="20"/>
        </w:rPr>
        <w:t>Overview</w:t>
      </w:r>
    </w:p>
    <w:p>
      <w:pPr>
        <w:pStyle w:val="BodyText"/>
        <w:spacing w:line="249" w:lineRule="auto" w:before="78"/>
        <w:ind w:left="199" w:right="257" w:firstLine="199"/>
        <w:jc w:val="both"/>
      </w:pPr>
      <w:r>
        <w:rPr/>
        <w:t>The SmartGrid AI Audit Framework is organised into </w:t>
      </w:r>
      <w:r>
        <w:rPr/>
        <w:t>four tiers.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>
          <w:i/>
        </w:rPr>
        <w:t>telemetry</w:t>
      </w:r>
      <w:r>
        <w:rPr>
          <w:i/>
          <w:spacing w:val="-8"/>
        </w:rPr>
        <w:t> </w:t>
      </w:r>
      <w:r>
        <w:rPr>
          <w:i/>
        </w:rPr>
        <w:t>tier</w:t>
      </w:r>
      <w:r>
        <w:rPr>
          <w:i/>
          <w:spacing w:val="-4"/>
        </w:rPr>
        <w:t> </w:t>
      </w:r>
      <w:r>
        <w:rPr/>
        <w:t>interfaces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Rapid</w:t>
      </w:r>
      <w:r>
        <w:rPr>
          <w:spacing w:val="-8"/>
        </w:rPr>
        <w:t> </w:t>
      </w:r>
      <w:r>
        <w:rPr/>
        <w:t>SCADA</w:t>
      </w:r>
      <w:r>
        <w:rPr>
          <w:spacing w:val="-8"/>
        </w:rPr>
        <w:t> </w:t>
      </w:r>
      <w:r>
        <w:rPr/>
        <w:t>through a PowerShell bridge that polls the SCADA Web API at configurable intervals and forwards 100-agent batch payloads to the FastAPI backend. The </w:t>
      </w:r>
      <w:r>
        <w:rPr>
          <w:i/>
        </w:rPr>
        <w:t>detection tier </w:t>
      </w:r>
      <w:r>
        <w:rPr/>
        <w:t>executes the multi-layer</w:t>
      </w:r>
      <w:r>
        <w:rPr>
          <w:spacing w:val="67"/>
        </w:rPr>
        <w:t> </w:t>
      </w:r>
      <w:r>
        <w:rPr/>
        <w:t>anomaly</w:t>
      </w:r>
      <w:r>
        <w:rPr>
          <w:spacing w:val="68"/>
        </w:rPr>
        <w:t> </w:t>
      </w:r>
      <w:r>
        <w:rPr/>
        <w:t>detection</w:t>
      </w:r>
      <w:r>
        <w:rPr>
          <w:spacing w:val="68"/>
        </w:rPr>
        <w:t> </w:t>
      </w:r>
      <w:r>
        <w:rPr/>
        <w:t>pipeline</w:t>
      </w:r>
      <w:r>
        <w:rPr>
          <w:spacing w:val="67"/>
        </w:rPr>
        <w:t> </w:t>
      </w:r>
      <w:r>
        <w:rPr/>
        <w:t>on</w:t>
      </w:r>
      <w:r>
        <w:rPr>
          <w:spacing w:val="68"/>
        </w:rPr>
        <w:t> </w:t>
      </w:r>
      <w:r>
        <w:rPr/>
        <w:t>each</w:t>
      </w:r>
      <w:r>
        <w:rPr>
          <w:spacing w:val="68"/>
        </w:rPr>
        <w:t> </w:t>
      </w:r>
      <w:r>
        <w:rPr/>
        <w:t>inbound</w:t>
      </w:r>
      <w:r>
        <w:rPr>
          <w:spacing w:val="68"/>
        </w:rPr>
        <w:t> </w:t>
      </w:r>
      <w:r>
        <w:rPr>
          <w:spacing w:val="-2"/>
        </w:rPr>
        <w:t>batch,</w:t>
      </w:r>
    </w:p>
    <w:p>
      <w:pPr>
        <w:pStyle w:val="BodyText"/>
        <w:spacing w:after="0" w:line="249" w:lineRule="auto"/>
        <w:jc w:val="both"/>
        <w:sectPr>
          <w:pgSz w:w="12240" w:h="15840"/>
          <w:pgMar w:top="92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line="249" w:lineRule="auto" w:before="71"/>
        <w:ind w:left="259"/>
        <w:jc w:val="both"/>
      </w:pPr>
      <w:r>
        <w:rPr/>
        <w:t>producing per-agent risk scores and attack-type flags. </w:t>
      </w:r>
      <w:r>
        <w:rPr/>
        <w:t>The </w:t>
      </w:r>
      <w:r>
        <w:rPr>
          <w:i/>
        </w:rPr>
        <w:t>scheduling tier </w:t>
      </w:r>
      <w:r>
        <w:rPr/>
        <w:t>applies the hybrid audit scheduler to convert risk scores into escalation decisions within the available audit budget. The </w:t>
      </w:r>
      <w:r>
        <w:rPr>
          <w:i/>
        </w:rPr>
        <w:t>presentation tier </w:t>
      </w:r>
      <w:r>
        <w:rPr/>
        <w:t>hosts the Next.js operational dashboard, which renders eight views: operations overview, agent monitoring, audit trail, risk analytics, threat events, decision explainability, system health, and asset topology.</w:t>
      </w:r>
    </w:p>
    <w:p>
      <w:pPr>
        <w:spacing w:line="223" w:lineRule="auto" w:before="84"/>
        <w:ind w:left="199" w:right="257" w:firstLine="199"/>
        <w:jc w:val="both"/>
        <w:rPr>
          <w:sz w:val="20"/>
        </w:rPr>
      </w:pPr>
      <w:r>
        <w:rPr/>
        <w:br w:type="column"/>
      </w:r>
      <w:r>
        <w:rPr>
          <w:i/>
          <w:w w:val="110"/>
          <w:sz w:val="20"/>
        </w:rPr>
        <w:t>2)</w:t>
      </w:r>
      <w:r>
        <w:rPr>
          <w:i/>
          <w:spacing w:val="-14"/>
          <w:w w:val="110"/>
          <w:sz w:val="20"/>
        </w:rPr>
        <w:t> </w:t>
      </w:r>
      <w:r>
        <w:rPr>
          <w:i/>
          <w:w w:val="110"/>
          <w:sz w:val="20"/>
        </w:rPr>
        <w:t>Layer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B:</w:t>
      </w:r>
      <w:r>
        <w:rPr>
          <w:i/>
          <w:spacing w:val="-11"/>
          <w:w w:val="110"/>
          <w:sz w:val="20"/>
        </w:rPr>
        <w:t> </w:t>
      </w:r>
      <w:r>
        <w:rPr>
          <w:i/>
          <w:w w:val="110"/>
          <w:sz w:val="20"/>
        </w:rPr>
        <w:t>Dual-Branch</w:t>
      </w:r>
      <w:r>
        <w:rPr>
          <w:i/>
          <w:spacing w:val="-11"/>
          <w:w w:val="110"/>
          <w:sz w:val="20"/>
        </w:rPr>
        <w:t> </w:t>
      </w:r>
      <w:r>
        <w:rPr>
          <w:i/>
          <w:w w:val="110"/>
          <w:sz w:val="20"/>
        </w:rPr>
        <w:t>LSTM</w:t>
      </w:r>
      <w:r>
        <w:rPr>
          <w:i/>
          <w:spacing w:val="-11"/>
          <w:w w:val="110"/>
          <w:sz w:val="20"/>
        </w:rPr>
        <w:t> </w:t>
      </w:r>
      <w:r>
        <w:rPr>
          <w:i/>
          <w:w w:val="110"/>
          <w:sz w:val="20"/>
        </w:rPr>
        <w:t>Temporal</w:t>
      </w:r>
      <w:r>
        <w:rPr>
          <w:i/>
          <w:spacing w:val="-11"/>
          <w:w w:val="110"/>
          <w:sz w:val="20"/>
        </w:rPr>
        <w:t> </w:t>
      </w:r>
      <w:r>
        <w:rPr>
          <w:i/>
          <w:w w:val="110"/>
          <w:sz w:val="20"/>
        </w:rPr>
        <w:t>Detector:</w:t>
      </w:r>
      <w:r>
        <w:rPr>
          <w:i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w w:val="110"/>
          <w:sz w:val="20"/>
        </w:rPr>
        <w:t> </w:t>
      </w:r>
      <w:r>
        <w:rPr>
          <w:sz w:val="20"/>
        </w:rPr>
        <w:t>dual-branch LSTM architecture processes the sliding </w:t>
      </w:r>
      <w:r>
        <w:rPr>
          <w:sz w:val="20"/>
        </w:rPr>
        <w:t>windo</w:t>
      </w:r>
      <w:r>
        <w:rPr>
          <w:sz w:val="20"/>
        </w:rPr>
        <w:t>w</w:t>
      </w:r>
      <w:r>
        <w:rPr>
          <w:sz w:val="20"/>
        </w:rPr>
        <w:t> </w:t>
      </w:r>
      <w:r>
        <w:rPr>
          <w:rFonts w:ascii="Calibri" w:hAnsi="Calibri"/>
          <w:b/>
          <w:w w:val="125"/>
          <w:sz w:val="20"/>
        </w:rPr>
        <w:t>W</w:t>
      </w:r>
      <w:r>
        <w:rPr>
          <w:rFonts w:ascii="Calibri" w:hAnsi="Calibri"/>
          <w:i/>
          <w:w w:val="125"/>
          <w:sz w:val="20"/>
          <w:vertAlign w:val="subscript"/>
        </w:rPr>
        <w:t>i</w:t>
      </w:r>
      <w:r>
        <w:rPr>
          <w:rFonts w:ascii="Calibri" w:hAnsi="Calibri"/>
          <w:w w:val="125"/>
          <w:sz w:val="20"/>
          <w:vertAlign w:val="baseline"/>
        </w:rPr>
        <w:t>(</w:t>
      </w:r>
      <w:r>
        <w:rPr>
          <w:rFonts w:ascii="Calibri" w:hAnsi="Calibri"/>
          <w:i/>
          <w:w w:val="125"/>
          <w:sz w:val="20"/>
          <w:vertAlign w:val="baseline"/>
        </w:rPr>
        <w:t>t</w:t>
      </w:r>
      <w:r>
        <w:rPr>
          <w:rFonts w:ascii="Calibri" w:hAnsi="Calibri"/>
          <w:w w:val="125"/>
          <w:sz w:val="20"/>
          <w:vertAlign w:val="baseline"/>
        </w:rPr>
        <w:t>)</w:t>
      </w:r>
      <w:r>
        <w:rPr>
          <w:rFonts w:ascii="Calibri" w:hAnsi="Calibri"/>
          <w:spacing w:val="16"/>
          <w:w w:val="125"/>
          <w:sz w:val="20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=</w:t>
      </w:r>
      <w:r>
        <w:rPr>
          <w:rFonts w:ascii="Calibri" w:hAnsi="Calibri"/>
          <w:spacing w:val="40"/>
          <w:w w:val="125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[</w:t>
      </w:r>
      <w:r>
        <w:rPr>
          <w:rFonts w:ascii="Calibri" w:hAnsi="Calibri"/>
          <w:b/>
          <w:w w:val="110"/>
          <w:sz w:val="20"/>
          <w:vertAlign w:val="baseline"/>
        </w:rPr>
        <w:t>x</w:t>
      </w:r>
      <w:r>
        <w:rPr>
          <w:rFonts w:ascii="Calibri" w:hAnsi="Calibri"/>
          <w:i/>
          <w:w w:val="110"/>
          <w:sz w:val="20"/>
          <w:vertAlign w:val="subscript"/>
        </w:rPr>
        <w:t>i</w:t>
      </w:r>
      <w:r>
        <w:rPr>
          <w:rFonts w:ascii="Calibri" w:hAnsi="Calibri"/>
          <w:w w:val="110"/>
          <w:sz w:val="20"/>
          <w:vertAlign w:val="baseline"/>
        </w:rPr>
        <w:t>(</w:t>
      </w:r>
      <w:r>
        <w:rPr>
          <w:rFonts w:ascii="Calibri" w:hAnsi="Calibri"/>
          <w:i/>
          <w:w w:val="110"/>
          <w:sz w:val="20"/>
          <w:vertAlign w:val="baseline"/>
        </w:rPr>
        <w:t>t</w:t>
      </w:r>
      <w:r>
        <w:rPr>
          <w:rFonts w:ascii="Lucida Sans Unicode" w:hAnsi="Lucida Sans Unicode"/>
          <w:w w:val="110"/>
          <w:sz w:val="20"/>
          <w:vertAlign w:val="baseline"/>
        </w:rPr>
        <w:t>−</w:t>
      </w:r>
      <w:r>
        <w:rPr>
          <w:rFonts w:ascii="Calibri" w:hAnsi="Calibri"/>
          <w:i/>
          <w:w w:val="110"/>
          <w:sz w:val="20"/>
          <w:vertAlign w:val="baseline"/>
        </w:rPr>
        <w:t>w</w:t>
      </w:r>
      <w:r>
        <w:rPr>
          <w:rFonts w:ascii="Calibri" w:hAnsi="Calibri"/>
          <w:w w:val="110"/>
          <w:sz w:val="20"/>
          <w:vertAlign w:val="baseline"/>
        </w:rPr>
        <w:t>+1)</w:t>
      </w:r>
      <w:r>
        <w:rPr>
          <w:rFonts w:ascii="Calibri" w:hAnsi="Calibri"/>
          <w:i/>
          <w:w w:val="110"/>
          <w:sz w:val="20"/>
          <w:vertAlign w:val="baseline"/>
        </w:rPr>
        <w:t>,</w:t>
      </w:r>
      <w:r>
        <w:rPr>
          <w:rFonts w:ascii="Calibri" w:hAnsi="Calibri"/>
          <w:i/>
          <w:spacing w:val="-13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.</w:t>
      </w:r>
      <w:r>
        <w:rPr>
          <w:rFonts w:ascii="Calibri" w:hAnsi="Calibri"/>
          <w:i/>
          <w:spacing w:val="-12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.</w:t>
      </w:r>
      <w:r>
        <w:rPr>
          <w:rFonts w:ascii="Calibri" w:hAnsi="Calibri"/>
          <w:i/>
          <w:spacing w:val="-13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.</w:t>
      </w:r>
      <w:r>
        <w:rPr>
          <w:rFonts w:ascii="Calibri" w:hAnsi="Calibri"/>
          <w:i/>
          <w:spacing w:val="-12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,</w:t>
      </w:r>
      <w:r>
        <w:rPr>
          <w:rFonts w:ascii="Calibri" w:hAnsi="Calibri"/>
          <w:i/>
          <w:spacing w:val="-13"/>
          <w:w w:val="110"/>
          <w:sz w:val="20"/>
          <w:vertAlign w:val="baseline"/>
        </w:rPr>
        <w:t> </w:t>
      </w:r>
      <w:r>
        <w:rPr>
          <w:rFonts w:ascii="Calibri" w:hAnsi="Calibri"/>
          <w:b/>
          <w:w w:val="125"/>
          <w:sz w:val="20"/>
          <w:vertAlign w:val="baseline"/>
        </w:rPr>
        <w:t>x</w:t>
      </w:r>
      <w:r>
        <w:rPr>
          <w:rFonts w:ascii="Calibri" w:hAnsi="Calibri"/>
          <w:i/>
          <w:w w:val="125"/>
          <w:sz w:val="20"/>
          <w:vertAlign w:val="subscript"/>
        </w:rPr>
        <w:t>i</w:t>
      </w:r>
      <w:r>
        <w:rPr>
          <w:rFonts w:ascii="Calibri" w:hAnsi="Calibri"/>
          <w:w w:val="125"/>
          <w:sz w:val="20"/>
          <w:vertAlign w:val="baseline"/>
        </w:rPr>
        <w:t>(</w:t>
      </w:r>
      <w:r>
        <w:rPr>
          <w:rFonts w:ascii="Calibri" w:hAnsi="Calibri"/>
          <w:i/>
          <w:w w:val="125"/>
          <w:sz w:val="20"/>
          <w:vertAlign w:val="baseline"/>
        </w:rPr>
        <w:t>t</w:t>
      </w:r>
      <w:r>
        <w:rPr>
          <w:rFonts w:ascii="Calibri" w:hAnsi="Calibri"/>
          <w:w w:val="125"/>
          <w:sz w:val="20"/>
          <w:vertAlign w:val="baseline"/>
        </w:rPr>
        <w:t>)]</w:t>
      </w:r>
      <w:r>
        <w:rPr>
          <w:rFonts w:ascii="Calibri" w:hAnsi="Calibri"/>
          <w:w w:val="125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for</w:t>
      </w:r>
      <w:r>
        <w:rPr>
          <w:spacing w:val="40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each</w:t>
      </w:r>
      <w:r>
        <w:rPr>
          <w:spacing w:val="40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agent</w:t>
      </w:r>
      <w:r>
        <w:rPr>
          <w:spacing w:val="40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indepen-</w:t>
      </w:r>
      <w:r>
        <w:rPr>
          <w:sz w:val="20"/>
          <w:vertAlign w:val="baseline"/>
        </w:rPr>
        <w:t>dently.</w:t>
      </w:r>
      <w:r>
        <w:rPr>
          <w:spacing w:val="6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6"/>
          <w:sz w:val="20"/>
          <w:vertAlign w:val="baseline"/>
        </w:rPr>
        <w:t> </w:t>
      </w:r>
      <w:r>
        <w:rPr>
          <w:sz w:val="20"/>
          <w:vertAlign w:val="baseline"/>
        </w:rPr>
        <w:t>two</w:t>
      </w:r>
      <w:r>
        <w:rPr>
          <w:spacing w:val="6"/>
          <w:sz w:val="20"/>
          <w:vertAlign w:val="baseline"/>
        </w:rPr>
        <w:t> </w:t>
      </w:r>
      <w:r>
        <w:rPr>
          <w:sz w:val="20"/>
          <w:vertAlign w:val="baseline"/>
        </w:rPr>
        <w:t>branches</w:t>
      </w:r>
      <w:r>
        <w:rPr>
          <w:spacing w:val="6"/>
          <w:sz w:val="20"/>
          <w:vertAlign w:val="baseline"/>
        </w:rPr>
        <w:t> </w:t>
      </w:r>
      <w:r>
        <w:rPr>
          <w:sz w:val="20"/>
          <w:vertAlign w:val="baseline"/>
        </w:rPr>
        <w:t>employ</w:t>
      </w:r>
      <w:r>
        <w:rPr>
          <w:spacing w:val="6"/>
          <w:sz w:val="20"/>
          <w:vertAlign w:val="baseline"/>
        </w:rPr>
        <w:t> </w:t>
      </w:r>
      <w:r>
        <w:rPr>
          <w:sz w:val="20"/>
          <w:vertAlign w:val="baseline"/>
        </w:rPr>
        <w:t>different</w:t>
      </w:r>
      <w:r>
        <w:rPr>
          <w:spacing w:val="6"/>
          <w:sz w:val="20"/>
          <w:vertAlign w:val="baseline"/>
        </w:rPr>
        <w:t> </w:t>
      </w:r>
      <w:r>
        <w:rPr>
          <w:sz w:val="20"/>
          <w:vertAlign w:val="baseline"/>
        </w:rPr>
        <w:t>window</w:t>
      </w:r>
      <w:r>
        <w:rPr>
          <w:spacing w:val="7"/>
          <w:sz w:val="20"/>
          <w:vertAlign w:val="baseline"/>
        </w:rPr>
        <w:t> </w:t>
      </w:r>
      <w:r>
        <w:rPr>
          <w:sz w:val="20"/>
          <w:vertAlign w:val="baseline"/>
        </w:rPr>
        <w:t>lengths</w:t>
      </w:r>
      <w:r>
        <w:rPr>
          <w:spacing w:val="6"/>
          <w:sz w:val="20"/>
          <w:vertAlign w:val="baseline"/>
        </w:rPr>
        <w:t> </w:t>
      </w:r>
      <w:r>
        <w:rPr>
          <w:spacing w:val="-5"/>
          <w:sz w:val="20"/>
          <w:vertAlign w:val="baseline"/>
        </w:rPr>
        <w:t>t</w:t>
      </w:r>
      <w:r>
        <w:rPr>
          <w:spacing w:val="-5"/>
          <w:sz w:val="20"/>
          <w:vertAlign w:val="baseline"/>
        </w:rPr>
        <w:t>o</w:t>
      </w:r>
    </w:p>
    <w:p>
      <w:pPr>
        <w:pStyle w:val="BodyText"/>
        <w:spacing w:line="244" w:lineRule="auto" w:before="16"/>
        <w:ind w:left="199" w:right="25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1712">
                <wp:simplePos x="0" y="0"/>
                <wp:positionH relativeFrom="page">
                  <wp:posOffset>5058283</wp:posOffset>
                </wp:positionH>
                <wp:positionV relativeFrom="paragraph">
                  <wp:posOffset>900889</wp:posOffset>
                </wp:positionV>
                <wp:extent cx="1470660" cy="46990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1470660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224" w:val="left" w:leader="none"/>
                              </w:tabs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w w:val="14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ucida Sans Unicode"/>
                                <w:w w:val="144"/>
                                <w:sz w:val="2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98.290009pt;margin-top:70.936195pt;width:115.8pt;height:37pt;mso-position-horizontal-relative:page;mso-position-vertical-relative:paragraph;z-index:-16224768" type="#_x0000_t202" id="docshape1" filled="false" stroked="false">
                <v:textbox inset="0,0,0,0">
                  <w:txbxContent>
                    <w:p>
                      <w:pPr>
                        <w:tabs>
                          <w:tab w:pos="2224" w:val="left" w:leader="none"/>
                        </w:tabs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0"/>
                        </w:rPr>
                      </w:pPr>
                      <w:r>
                        <w:rPr>
                          <w:rFonts w:ascii="Lucida Sans Unicode"/>
                          <w:w w:val="144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sz w:val="20"/>
                        </w:rPr>
                        <w:tab/>
                      </w:r>
                      <w:r>
                        <w:rPr>
                          <w:rFonts w:ascii="Lucida Sans Unicode"/>
                          <w:w w:val="144"/>
                          <w:sz w:val="2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capture anomaly patterns at distinct temporal scales: a </w:t>
      </w:r>
      <w:r>
        <w:rPr/>
        <w:t>short branch (window </w:t>
      </w:r>
      <w:r>
        <w:rPr>
          <w:rFonts w:ascii="Calibri"/>
          <w:i/>
        </w:rPr>
        <w:t>w</w:t>
      </w:r>
      <w:r>
        <w:rPr>
          <w:rFonts w:ascii="Calibri"/>
          <w:i/>
          <w:vertAlign w:val="subscript"/>
        </w:rPr>
        <w:t>s</w:t>
      </w:r>
      <w:r>
        <w:rPr>
          <w:vertAlign w:val="baseline"/>
        </w:rPr>
        <w:t>) targets rapid transients and communi-</w:t>
      </w:r>
      <w:r>
        <w:rPr>
          <w:w w:val="110"/>
          <w:vertAlign w:val="baseline"/>
        </w:rPr>
        <w:t>cation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disruptions,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while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long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branch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(window</w:t>
      </w:r>
      <w:r>
        <w:rPr>
          <w:spacing w:val="-6"/>
          <w:w w:val="110"/>
          <w:vertAlign w:val="baseline"/>
        </w:rPr>
        <w:t> </w:t>
      </w:r>
      <w:r>
        <w:rPr>
          <w:rFonts w:ascii="Calibri"/>
          <w:i/>
          <w:w w:val="110"/>
          <w:vertAlign w:val="baseline"/>
        </w:rPr>
        <w:t>w</w:t>
      </w:r>
      <w:r>
        <w:rPr>
          <w:rFonts w:ascii="Calibri"/>
          <w:i/>
          <w:w w:val="110"/>
          <w:vertAlign w:val="subscript"/>
        </w:rPr>
        <w:t>l</w:t>
      </w:r>
      <w:r>
        <w:rPr>
          <w:rFonts w:ascii="Calibri"/>
          <w:i/>
          <w:w w:val="110"/>
          <w:vertAlign w:val="baseline"/>
        </w:rPr>
        <w:t> </w:t>
      </w:r>
      <w:r>
        <w:rPr>
          <w:rFonts w:ascii="Calibri"/>
          <w:i/>
          <w:w w:val="125"/>
          <w:vertAlign w:val="baseline"/>
        </w:rPr>
        <w:t>&gt;</w:t>
      </w:r>
      <w:r>
        <w:rPr>
          <w:rFonts w:ascii="Calibri"/>
          <w:i/>
          <w:spacing w:val="-6"/>
          <w:w w:val="125"/>
          <w:vertAlign w:val="baseline"/>
        </w:rPr>
        <w:t> </w:t>
      </w:r>
      <w:r>
        <w:rPr>
          <w:rFonts w:ascii="Calibri"/>
          <w:i/>
          <w:w w:val="110"/>
          <w:vertAlign w:val="baseline"/>
        </w:rPr>
        <w:t>w</w:t>
      </w:r>
      <w:r>
        <w:rPr>
          <w:rFonts w:ascii="Calibri"/>
          <w:i/>
          <w:w w:val="110"/>
          <w:vertAlign w:val="subscript"/>
        </w:rPr>
        <w:t>s</w:t>
      </w:r>
      <w:r>
        <w:rPr>
          <w:w w:val="110"/>
          <w:vertAlign w:val="baseline"/>
        </w:rPr>
        <w:t>) </w:t>
      </w:r>
      <w:r>
        <w:rPr>
          <w:vertAlign w:val="baseline"/>
        </w:rPr>
        <w:t>captures gradual drifts and sustained campaigns. Branch out-puts are concatenated and passed through a sigmoid output </w:t>
      </w:r>
      <w:r>
        <w:rPr>
          <w:spacing w:val="-2"/>
          <w:w w:val="110"/>
          <w:vertAlign w:val="baseline"/>
        </w:rPr>
        <w:t>head:</w:t>
      </w:r>
    </w:p>
    <w:p>
      <w:pPr>
        <w:pStyle w:val="BodyText"/>
        <w:spacing w:after="0" w:line="244" w:lineRule="auto"/>
        <w:jc w:val="both"/>
        <w:sectPr>
          <w:pgSz w:w="12240" w:h="15840"/>
          <w:pgMar w:top="92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0"/>
        <w:rPr>
          <w:sz w:val="16"/>
        </w:rPr>
      </w:pPr>
    </w:p>
    <w:p>
      <w:pPr>
        <w:spacing w:line="232" w:lineRule="auto" w:before="0"/>
        <w:ind w:left="259" w:right="0" w:firstLine="0"/>
        <w:jc w:val="both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621842</wp:posOffset>
            </wp:positionH>
            <wp:positionV relativeFrom="paragraph">
              <wp:posOffset>-1914908</wp:posOffset>
            </wp:positionV>
            <wp:extent cx="3188175" cy="1779446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8175" cy="1779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Fig.</w:t>
      </w:r>
      <w:r>
        <w:rPr>
          <w:spacing w:val="15"/>
          <w:sz w:val="16"/>
        </w:rPr>
        <w:t> </w:t>
      </w:r>
      <w:r>
        <w:rPr>
          <w:sz w:val="16"/>
        </w:rPr>
        <w:t>1.</w:t>
      </w:r>
      <w:r>
        <w:rPr>
          <w:spacing w:val="71"/>
          <w:sz w:val="16"/>
        </w:rPr>
        <w:t> </w:t>
      </w:r>
      <w:r>
        <w:rPr>
          <w:sz w:val="16"/>
        </w:rPr>
        <w:t>Four-tier</w:t>
      </w:r>
      <w:r>
        <w:rPr>
          <w:spacing w:val="15"/>
          <w:sz w:val="16"/>
        </w:rPr>
        <w:t> </w:t>
      </w:r>
      <w:r>
        <w:rPr>
          <w:sz w:val="16"/>
        </w:rPr>
        <w:t>system</w:t>
      </w:r>
      <w:r>
        <w:rPr>
          <w:spacing w:val="15"/>
          <w:sz w:val="16"/>
        </w:rPr>
        <w:t> </w:t>
      </w:r>
      <w:r>
        <w:rPr>
          <w:sz w:val="16"/>
        </w:rPr>
        <w:t>architecture.</w:t>
      </w:r>
      <w:r>
        <w:rPr>
          <w:spacing w:val="15"/>
          <w:sz w:val="16"/>
        </w:rPr>
        <w:t> </w:t>
      </w:r>
      <w:r>
        <w:rPr>
          <w:sz w:val="16"/>
        </w:rPr>
        <w:t>Data</w:t>
      </w:r>
      <w:r>
        <w:rPr>
          <w:spacing w:val="15"/>
          <w:sz w:val="16"/>
        </w:rPr>
        <w:t> </w:t>
      </w:r>
      <w:r>
        <w:rPr>
          <w:sz w:val="16"/>
        </w:rPr>
        <w:t>flows</w:t>
      </w:r>
      <w:r>
        <w:rPr>
          <w:spacing w:val="15"/>
          <w:sz w:val="16"/>
        </w:rPr>
        <w:t> </w:t>
      </w:r>
      <w:r>
        <w:rPr>
          <w:sz w:val="16"/>
        </w:rPr>
        <w:t>from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SCADA</w:t>
      </w:r>
      <w:r>
        <w:rPr>
          <w:spacing w:val="15"/>
          <w:sz w:val="16"/>
        </w:rPr>
        <w:t> </w:t>
      </w:r>
      <w:r>
        <w:rPr>
          <w:sz w:val="16"/>
        </w:rPr>
        <w:t>teleme-try layer through the detection and scheduling tiers to the operator-facing</w:t>
      </w:r>
      <w:r>
        <w:rPr>
          <w:spacing w:val="40"/>
          <w:sz w:val="16"/>
        </w:rPr>
        <w:t> </w:t>
      </w:r>
      <w:r>
        <w:rPr>
          <w:sz w:val="16"/>
        </w:rPr>
        <w:t>presentation layer.</w:t>
      </w:r>
    </w:p>
    <w:p>
      <w:pPr>
        <w:pStyle w:val="BodyText"/>
        <w:spacing w:before="54"/>
        <w:rPr>
          <w:sz w:val="16"/>
        </w:rPr>
      </w:pPr>
    </w:p>
    <w:p>
      <w:pPr>
        <w:pStyle w:val="BodyText"/>
        <w:spacing w:line="249" w:lineRule="auto"/>
        <w:ind w:left="259" w:firstLine="199"/>
        <w:jc w:val="both"/>
      </w:pPr>
      <w:r>
        <w:rPr/>
        <w:t>Fig. 1 illustrates the four-tier decomposition, and Fig. </w:t>
      </w:r>
      <w:r>
        <w:rPr/>
        <w:t>2 presents the complete system flow. The framework is divided into two operationally distinct workspaces. The </w:t>
      </w:r>
      <w:r>
        <w:rPr>
          <w:i/>
        </w:rPr>
        <w:t>Experiment Running </w:t>
      </w:r>
      <w:r>
        <w:rPr/>
        <w:t>workspace provides a controlled environment for simulation,</w:t>
      </w:r>
      <w:r>
        <w:rPr>
          <w:spacing w:val="-2"/>
        </w:rPr>
        <w:t> </w:t>
      </w:r>
      <w:r>
        <w:rPr/>
        <w:t>benchmarking,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method</w:t>
      </w:r>
      <w:r>
        <w:rPr>
          <w:spacing w:val="-2"/>
        </w:rPr>
        <w:t> </w:t>
      </w:r>
      <w:r>
        <w:rPr/>
        <w:t>comparison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syn-thetic telemetry with known attack injection profiles. The </w:t>
      </w:r>
      <w:r>
        <w:rPr>
          <w:i/>
        </w:rPr>
        <w:t>Rapid SCADA Live </w:t>
      </w:r>
      <w:r>
        <w:rPr/>
        <w:t>workspace connects to the live SCADA deployment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real-time</w:t>
      </w:r>
      <w:r>
        <w:rPr>
          <w:spacing w:val="40"/>
        </w:rPr>
        <w:t> </w:t>
      </w:r>
      <w:r>
        <w:rPr/>
        <w:t>monitoring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operational</w:t>
      </w:r>
      <w:r>
        <w:rPr>
          <w:spacing w:val="40"/>
        </w:rPr>
        <w:t> </w:t>
      </w:r>
      <w:r>
        <w:rPr/>
        <w:t>deci-sion support. Both workspaces share the same detection and scheduling code but operate with independent configuration </w:t>
      </w:r>
      <w:r>
        <w:rPr>
          <w:spacing w:val="-2"/>
        </w:rPr>
        <w:t>states.</w:t>
      </w:r>
    </w:p>
    <w:p>
      <w:pPr>
        <w:pStyle w:val="ListParagraph"/>
        <w:numPr>
          <w:ilvl w:val="0"/>
          <w:numId w:val="4"/>
        </w:numPr>
        <w:tabs>
          <w:tab w:pos="529" w:val="left" w:leader="none"/>
        </w:tabs>
        <w:spacing w:line="240" w:lineRule="auto" w:before="208" w:after="0"/>
        <w:ind w:left="529" w:right="0" w:hanging="270"/>
        <w:jc w:val="left"/>
        <w:rPr>
          <w:i/>
          <w:sz w:val="20"/>
        </w:rPr>
      </w:pPr>
      <w:r>
        <w:rPr>
          <w:i/>
          <w:sz w:val="20"/>
        </w:rPr>
        <w:t>Multi-Layer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Anomaly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Detection</w:t>
      </w:r>
      <w:r>
        <w:rPr>
          <w:i/>
          <w:spacing w:val="11"/>
          <w:sz w:val="20"/>
        </w:rPr>
        <w:t> </w:t>
      </w:r>
      <w:r>
        <w:rPr>
          <w:i/>
          <w:spacing w:val="-2"/>
          <w:sz w:val="20"/>
        </w:rPr>
        <w:t>Pipeline</w:t>
      </w:r>
    </w:p>
    <w:p>
      <w:pPr>
        <w:pStyle w:val="BodyText"/>
        <w:spacing w:before="1"/>
        <w:rPr>
          <w:i/>
          <w:sz w:val="9"/>
        </w:rPr>
      </w:pPr>
    </w:p>
    <w:p>
      <w:pPr>
        <w:spacing w:line="240" w:lineRule="auto"/>
        <w:ind w:left="458" w:right="-44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061970" cy="153035"/>
                <wp:effectExtent l="0" t="0" r="0" b="0"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306197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7" w:lineRule="exact"/>
                            </w:pPr>
                            <w:r>
                              <w:rPr/>
                              <w:t>The</w:t>
                            </w:r>
                            <w:r>
                              <w:rPr>
                                <w:spacing w:val="50"/>
                              </w:rPr>
                              <w:t> </w:t>
                            </w:r>
                            <w:r>
                              <w:rPr/>
                              <w:t>detection</w:t>
                            </w:r>
                            <w:r>
                              <w:rPr>
                                <w:spacing w:val="53"/>
                              </w:rPr>
                              <w:t> </w:t>
                            </w:r>
                            <w:r>
                              <w:rPr/>
                              <w:t>pipeline</w:t>
                            </w:r>
                            <w:r>
                              <w:rPr>
                                <w:spacing w:val="53"/>
                              </w:rPr>
                              <w:t> </w:t>
                            </w:r>
                            <w:r>
                              <w:rPr/>
                              <w:t>comprises</w:t>
                            </w:r>
                            <w:r>
                              <w:rPr>
                                <w:spacing w:val="53"/>
                              </w:rPr>
                              <w:t> </w:t>
                            </w:r>
                            <w:r>
                              <w:rPr/>
                              <w:t>four</w:t>
                            </w:r>
                            <w:r>
                              <w:rPr>
                                <w:spacing w:val="53"/>
                              </w:rPr>
                              <w:t> </w:t>
                            </w:r>
                            <w:r>
                              <w:rPr/>
                              <w:t>sequential</w:t>
                            </w:r>
                            <w:r>
                              <w:rPr>
                                <w:spacing w:val="5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stages,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41.1pt;height:12.05pt;mso-position-horizontal-relative:char;mso-position-vertical-relative:line" type="#_x0000_t202" id="docshape2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27" w:lineRule="exact"/>
                      </w:pPr>
                      <w:r>
                        <w:rPr/>
                        <w:t>The</w:t>
                      </w:r>
                      <w:r>
                        <w:rPr>
                          <w:spacing w:val="50"/>
                        </w:rPr>
                        <w:t> </w:t>
                      </w:r>
                      <w:r>
                        <w:rPr/>
                        <w:t>detection</w:t>
                      </w:r>
                      <w:r>
                        <w:rPr>
                          <w:spacing w:val="53"/>
                        </w:rPr>
                        <w:t> </w:t>
                      </w:r>
                      <w:r>
                        <w:rPr/>
                        <w:t>pipeline</w:t>
                      </w:r>
                      <w:r>
                        <w:rPr>
                          <w:spacing w:val="53"/>
                        </w:rPr>
                        <w:t> </w:t>
                      </w:r>
                      <w:r>
                        <w:rPr/>
                        <w:t>comprises</w:t>
                      </w:r>
                      <w:r>
                        <w:rPr>
                          <w:spacing w:val="53"/>
                        </w:rPr>
                        <w:t> </w:t>
                      </w:r>
                      <w:r>
                        <w:rPr/>
                        <w:t>four</w:t>
                      </w:r>
                      <w:r>
                        <w:rPr>
                          <w:spacing w:val="53"/>
                        </w:rPr>
                        <w:t> </w:t>
                      </w:r>
                      <w:r>
                        <w:rPr/>
                        <w:t>sequential</w:t>
                      </w:r>
                      <w:r>
                        <w:rPr>
                          <w:spacing w:val="53"/>
                        </w:rPr>
                        <w:t> </w:t>
                      </w:r>
                      <w:r>
                        <w:rPr>
                          <w:spacing w:val="-2"/>
                        </w:rPr>
                        <w:t>stages,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tabs>
          <w:tab w:pos="3809" w:val="left" w:leader="none"/>
        </w:tabs>
        <w:spacing w:before="58"/>
        <w:ind w:left="0" w:right="257" w:firstLine="0"/>
        <w:jc w:val="right"/>
        <w:rPr>
          <w:sz w:val="20"/>
        </w:rPr>
      </w:pPr>
      <w:r>
        <w:rPr/>
        <w:br w:type="column"/>
      </w:r>
      <w:r>
        <w:rPr>
          <w:rFonts w:ascii="Calibri" w:hAnsi="Calibri"/>
          <w:i/>
          <w:w w:val="120"/>
          <w:sz w:val="20"/>
        </w:rPr>
        <w:t>p</w:t>
      </w:r>
      <w:r>
        <w:rPr>
          <w:rFonts w:ascii="Calibri" w:hAnsi="Calibri"/>
          <w:i/>
          <w:w w:val="120"/>
          <w:sz w:val="20"/>
          <w:vertAlign w:val="subscript"/>
        </w:rPr>
        <w:t>i</w:t>
      </w:r>
      <w:r>
        <w:rPr>
          <w:rFonts w:ascii="Calibri" w:hAnsi="Calibri"/>
          <w:w w:val="120"/>
          <w:sz w:val="20"/>
          <w:vertAlign w:val="baseline"/>
        </w:rPr>
        <w:t>(</w:t>
      </w:r>
      <w:r>
        <w:rPr>
          <w:rFonts w:ascii="Calibri" w:hAnsi="Calibri"/>
          <w:i/>
          <w:w w:val="120"/>
          <w:sz w:val="20"/>
          <w:vertAlign w:val="baseline"/>
        </w:rPr>
        <w:t>t</w:t>
      </w:r>
      <w:r>
        <w:rPr>
          <w:rFonts w:ascii="Calibri" w:hAnsi="Calibri"/>
          <w:w w:val="120"/>
          <w:sz w:val="20"/>
          <w:vertAlign w:val="baseline"/>
        </w:rPr>
        <w:t>)</w:t>
      </w:r>
      <w:r>
        <w:rPr>
          <w:rFonts w:ascii="Calibri" w:hAnsi="Calibri"/>
          <w:spacing w:val="-5"/>
          <w:w w:val="135"/>
          <w:sz w:val="20"/>
          <w:vertAlign w:val="baseline"/>
        </w:rPr>
        <w:t> </w:t>
      </w:r>
      <w:r>
        <w:rPr>
          <w:rFonts w:ascii="Calibri" w:hAnsi="Calibri"/>
          <w:w w:val="135"/>
          <w:sz w:val="20"/>
          <w:vertAlign w:val="baseline"/>
        </w:rPr>
        <w:t>=</w:t>
      </w:r>
      <w:r>
        <w:rPr>
          <w:rFonts w:ascii="Calibri" w:hAnsi="Calibri"/>
          <w:spacing w:val="-5"/>
          <w:w w:val="135"/>
          <w:sz w:val="20"/>
          <w:vertAlign w:val="baseline"/>
        </w:rPr>
        <w:t> </w:t>
      </w:r>
      <w:r>
        <w:rPr>
          <w:rFonts w:ascii="Calibri" w:hAnsi="Calibri"/>
          <w:i/>
          <w:w w:val="120"/>
          <w:sz w:val="20"/>
          <w:vertAlign w:val="baseline"/>
        </w:rPr>
        <w:t>σ</w:t>
      </w:r>
      <w:r>
        <w:rPr>
          <w:rFonts w:ascii="Calibri" w:hAnsi="Calibri"/>
          <w:i/>
          <w:spacing w:val="12"/>
          <w:w w:val="120"/>
          <w:sz w:val="20"/>
          <w:vertAlign w:val="baseline"/>
        </w:rPr>
        <w:t> </w:t>
      </w:r>
      <w:r>
        <w:rPr>
          <w:rFonts w:ascii="Calibri" w:hAnsi="Calibri"/>
          <w:i/>
          <w:w w:val="120"/>
          <w:sz w:val="20"/>
          <w:vertAlign w:val="baseline"/>
        </w:rPr>
        <w:t>W</w:t>
      </w:r>
      <w:r>
        <w:rPr>
          <w:rFonts w:ascii="Calibri" w:hAnsi="Calibri"/>
          <w:i/>
          <w:w w:val="120"/>
          <w:sz w:val="20"/>
          <w:vertAlign w:val="subscript"/>
        </w:rPr>
        <w:t>o</w:t>
      </w:r>
      <w:r>
        <w:rPr>
          <w:rFonts w:ascii="Calibri" w:hAnsi="Calibri"/>
          <w:i/>
          <w:spacing w:val="1"/>
          <w:w w:val="120"/>
          <w:sz w:val="20"/>
          <w:vertAlign w:val="baseline"/>
        </w:rPr>
        <w:t> </w:t>
      </w:r>
      <w:r>
        <w:rPr>
          <w:rFonts w:ascii="Lucida Sans Unicode" w:hAnsi="Lucida Sans Unicode"/>
          <w:w w:val="80"/>
          <w:sz w:val="20"/>
          <w:vertAlign w:val="baseline"/>
        </w:rPr>
        <w:t>·</w:t>
      </w:r>
      <w:r>
        <w:rPr>
          <w:rFonts w:ascii="Lucida Sans Unicode" w:hAnsi="Lucida Sans Unicode"/>
          <w:spacing w:val="-5"/>
          <w:w w:val="80"/>
          <w:sz w:val="20"/>
          <w:vertAlign w:val="baseline"/>
        </w:rPr>
        <w:t> </w:t>
      </w:r>
      <w:r>
        <w:rPr>
          <w:rFonts w:ascii="Calibri" w:hAnsi="Calibri"/>
          <w:w w:val="120"/>
          <w:sz w:val="20"/>
          <w:vertAlign w:val="baseline"/>
        </w:rPr>
        <w:t>[</w:t>
      </w:r>
      <w:r>
        <w:rPr>
          <w:rFonts w:ascii="Calibri" w:hAnsi="Calibri"/>
          <w:b/>
          <w:w w:val="120"/>
          <w:sz w:val="20"/>
          <w:vertAlign w:val="baseline"/>
        </w:rPr>
        <w:t>h</w:t>
      </w:r>
      <w:r>
        <w:rPr>
          <w:rFonts w:ascii="Calibri" w:hAnsi="Calibri"/>
          <w:i/>
          <w:w w:val="120"/>
          <w:sz w:val="20"/>
          <w:vertAlign w:val="subscript"/>
        </w:rPr>
        <w:t>i,s</w:t>
      </w:r>
      <w:r>
        <w:rPr>
          <w:rFonts w:ascii="Calibri" w:hAnsi="Calibri"/>
          <w:w w:val="120"/>
          <w:sz w:val="20"/>
          <w:vertAlign w:val="baseline"/>
        </w:rPr>
        <w:t>(</w:t>
      </w:r>
      <w:r>
        <w:rPr>
          <w:rFonts w:ascii="Calibri" w:hAnsi="Calibri"/>
          <w:i/>
          <w:w w:val="120"/>
          <w:sz w:val="20"/>
          <w:vertAlign w:val="baseline"/>
        </w:rPr>
        <w:t>t</w:t>
      </w:r>
      <w:r>
        <w:rPr>
          <w:rFonts w:ascii="Calibri" w:hAnsi="Calibri"/>
          <w:w w:val="120"/>
          <w:sz w:val="20"/>
          <w:vertAlign w:val="baseline"/>
        </w:rPr>
        <w:t>);</w:t>
      </w:r>
      <w:r>
        <w:rPr>
          <w:rFonts w:ascii="Calibri" w:hAnsi="Calibri"/>
          <w:spacing w:val="13"/>
          <w:w w:val="120"/>
          <w:sz w:val="20"/>
          <w:vertAlign w:val="baseline"/>
        </w:rPr>
        <w:t> </w:t>
      </w:r>
      <w:r>
        <w:rPr>
          <w:rFonts w:ascii="Calibri" w:hAnsi="Calibri"/>
          <w:b/>
          <w:w w:val="120"/>
          <w:sz w:val="20"/>
          <w:vertAlign w:val="baseline"/>
        </w:rPr>
        <w:t>h</w:t>
      </w:r>
      <w:r>
        <w:rPr>
          <w:rFonts w:ascii="Calibri" w:hAnsi="Calibri"/>
          <w:i/>
          <w:w w:val="120"/>
          <w:sz w:val="20"/>
          <w:vertAlign w:val="subscript"/>
        </w:rPr>
        <w:t>i,l</w:t>
      </w:r>
      <w:r>
        <w:rPr>
          <w:rFonts w:ascii="Calibri" w:hAnsi="Calibri"/>
          <w:w w:val="120"/>
          <w:sz w:val="20"/>
          <w:vertAlign w:val="baseline"/>
        </w:rPr>
        <w:t>(</w:t>
      </w:r>
      <w:r>
        <w:rPr>
          <w:rFonts w:ascii="Calibri" w:hAnsi="Calibri"/>
          <w:i/>
          <w:w w:val="120"/>
          <w:sz w:val="20"/>
          <w:vertAlign w:val="baseline"/>
        </w:rPr>
        <w:t>t</w:t>
      </w:r>
      <w:r>
        <w:rPr>
          <w:rFonts w:ascii="Calibri" w:hAnsi="Calibri"/>
          <w:w w:val="120"/>
          <w:sz w:val="20"/>
          <w:vertAlign w:val="baseline"/>
        </w:rPr>
        <w:t>)]</w:t>
      </w:r>
      <w:r>
        <w:rPr>
          <w:rFonts w:ascii="Calibri" w:hAnsi="Calibri"/>
          <w:spacing w:val="-9"/>
          <w:w w:val="120"/>
          <w:sz w:val="20"/>
          <w:vertAlign w:val="baseline"/>
        </w:rPr>
        <w:t> </w:t>
      </w:r>
      <w:r>
        <w:rPr>
          <w:rFonts w:ascii="Calibri" w:hAnsi="Calibri"/>
          <w:w w:val="135"/>
          <w:sz w:val="20"/>
          <w:vertAlign w:val="baseline"/>
        </w:rPr>
        <w:t>+</w:t>
      </w:r>
      <w:r>
        <w:rPr>
          <w:rFonts w:ascii="Calibri" w:hAnsi="Calibri"/>
          <w:spacing w:val="-16"/>
          <w:w w:val="135"/>
          <w:sz w:val="20"/>
          <w:vertAlign w:val="baseline"/>
        </w:rPr>
        <w:t> </w:t>
      </w:r>
      <w:r>
        <w:rPr>
          <w:rFonts w:ascii="Calibri" w:hAnsi="Calibri"/>
          <w:i/>
          <w:spacing w:val="-5"/>
          <w:w w:val="120"/>
          <w:sz w:val="20"/>
          <w:vertAlign w:val="baseline"/>
        </w:rPr>
        <w:t>b</w:t>
      </w:r>
      <w:r>
        <w:rPr>
          <w:rFonts w:ascii="Calibri" w:hAnsi="Calibri"/>
          <w:i/>
          <w:spacing w:val="-5"/>
          <w:w w:val="120"/>
          <w:sz w:val="20"/>
          <w:vertAlign w:val="subscript"/>
        </w:rPr>
        <w:t>o</w:t>
      </w:r>
      <w:r>
        <w:rPr>
          <w:rFonts w:ascii="Calibri" w:hAnsi="Calibri"/>
          <w:i/>
          <w:sz w:val="20"/>
          <w:vertAlign w:val="baseline"/>
        </w:rPr>
        <w:tab/>
      </w:r>
      <w:r>
        <w:rPr>
          <w:spacing w:val="-5"/>
          <w:w w:val="120"/>
          <w:sz w:val="20"/>
          <w:vertAlign w:val="baseline"/>
        </w:rPr>
        <w:t>(2)</w:t>
      </w:r>
    </w:p>
    <w:p>
      <w:pPr>
        <w:pStyle w:val="BodyText"/>
        <w:spacing w:line="208" w:lineRule="auto" w:before="211"/>
        <w:ind w:left="199" w:right="257"/>
        <w:jc w:val="both"/>
      </w:pPr>
      <w:r>
        <w:rPr>
          <w:w w:val="105"/>
        </w:rPr>
        <w:t>where</w:t>
      </w:r>
      <w:r>
        <w:rPr>
          <w:w w:val="105"/>
        </w:rPr>
        <w:t> </w:t>
      </w:r>
      <w:r>
        <w:rPr>
          <w:rFonts w:ascii="Calibri" w:hAnsi="Calibri"/>
          <w:b/>
          <w:w w:val="120"/>
        </w:rPr>
        <w:t>h</w:t>
      </w:r>
      <w:r>
        <w:rPr>
          <w:rFonts w:ascii="Calibri" w:hAnsi="Calibri"/>
          <w:i/>
          <w:w w:val="120"/>
          <w:vertAlign w:val="subscript"/>
        </w:rPr>
        <w:t>i,s</w:t>
      </w:r>
      <w:r>
        <w:rPr>
          <w:rFonts w:ascii="Calibri" w:hAnsi="Calibri"/>
          <w:w w:val="120"/>
          <w:vertAlign w:val="baseline"/>
        </w:rPr>
        <w:t>(</w:t>
      </w:r>
      <w:r>
        <w:rPr>
          <w:rFonts w:ascii="Calibri" w:hAnsi="Calibri"/>
          <w:i/>
          <w:w w:val="120"/>
          <w:vertAlign w:val="baseline"/>
        </w:rPr>
        <w:t>t</w:t>
      </w:r>
      <w:r>
        <w:rPr>
          <w:rFonts w:ascii="Calibri" w:hAnsi="Calibri"/>
          <w:w w:val="120"/>
          <w:vertAlign w:val="baseline"/>
        </w:rPr>
        <w:t>)</w:t>
      </w:r>
      <w:r>
        <w:rPr>
          <w:rFonts w:ascii="Calibri" w:hAnsi="Calibri"/>
          <w:w w:val="120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w w:val="105"/>
          <w:vertAlign w:val="baseline"/>
        </w:rPr>
        <w:t> </w:t>
      </w:r>
      <w:r>
        <w:rPr>
          <w:rFonts w:ascii="Calibri" w:hAnsi="Calibri"/>
          <w:b/>
          <w:w w:val="120"/>
          <w:vertAlign w:val="baseline"/>
        </w:rPr>
        <w:t>h</w:t>
      </w:r>
      <w:r>
        <w:rPr>
          <w:rFonts w:ascii="Calibri" w:hAnsi="Calibri"/>
          <w:i/>
          <w:w w:val="120"/>
          <w:vertAlign w:val="subscript"/>
        </w:rPr>
        <w:t>i,l</w:t>
      </w:r>
      <w:r>
        <w:rPr>
          <w:rFonts w:ascii="Calibri" w:hAnsi="Calibri"/>
          <w:w w:val="120"/>
          <w:vertAlign w:val="baseline"/>
        </w:rPr>
        <w:t>(</w:t>
      </w:r>
      <w:r>
        <w:rPr>
          <w:rFonts w:ascii="Calibri" w:hAnsi="Calibri"/>
          <w:i/>
          <w:w w:val="120"/>
          <w:vertAlign w:val="baseline"/>
        </w:rPr>
        <w:t>t</w:t>
      </w:r>
      <w:r>
        <w:rPr>
          <w:rFonts w:ascii="Calibri" w:hAnsi="Calibri"/>
          <w:w w:val="120"/>
          <w:vertAlign w:val="baseline"/>
        </w:rPr>
        <w:t>)</w:t>
      </w:r>
      <w:r>
        <w:rPr>
          <w:rFonts w:ascii="Calibri" w:hAnsi="Calibri"/>
          <w:w w:val="120"/>
          <w:vertAlign w:val="baseline"/>
        </w:rPr>
        <w:t> </w:t>
      </w:r>
      <w:r>
        <w:rPr>
          <w:w w:val="105"/>
          <w:vertAlign w:val="baseline"/>
        </w:rPr>
        <w:t>are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final</w:t>
      </w:r>
      <w:r>
        <w:rPr>
          <w:w w:val="105"/>
          <w:vertAlign w:val="baseline"/>
        </w:rPr>
        <w:t> hidden</w:t>
      </w:r>
      <w:r>
        <w:rPr>
          <w:w w:val="105"/>
          <w:vertAlign w:val="baseline"/>
        </w:rPr>
        <w:t> states</w:t>
      </w:r>
      <w:r>
        <w:rPr>
          <w:w w:val="105"/>
          <w:vertAlign w:val="baseline"/>
        </w:rPr>
        <w:t> of</w:t>
      </w:r>
      <w:r>
        <w:rPr>
          <w:w w:val="105"/>
          <w:vertAlign w:val="baseline"/>
        </w:rPr>
        <w:t> the short</w:t>
      </w:r>
      <w:r>
        <w:rPr>
          <w:w w:val="105"/>
          <w:vertAlign w:val="baseline"/>
        </w:rPr>
        <w:t> and</w:t>
      </w:r>
      <w:r>
        <w:rPr>
          <w:w w:val="105"/>
          <w:vertAlign w:val="baseline"/>
        </w:rPr>
        <w:t> long</w:t>
      </w:r>
      <w:r>
        <w:rPr>
          <w:w w:val="105"/>
          <w:vertAlign w:val="baseline"/>
        </w:rPr>
        <w:t> branches,</w:t>
      </w:r>
      <w:r>
        <w:rPr>
          <w:w w:val="105"/>
          <w:vertAlign w:val="baseline"/>
        </w:rPr>
        <w:t> and</w:t>
      </w:r>
      <w:r>
        <w:rPr>
          <w:w w:val="105"/>
          <w:vertAlign w:val="baseline"/>
        </w:rPr>
        <w:t> </w:t>
      </w:r>
      <w:r>
        <w:rPr>
          <w:rFonts w:ascii="Calibri" w:hAnsi="Calibri"/>
          <w:i/>
          <w:w w:val="120"/>
          <w:vertAlign w:val="baseline"/>
        </w:rPr>
        <w:t>p</w:t>
      </w:r>
      <w:r>
        <w:rPr>
          <w:rFonts w:ascii="Calibri" w:hAnsi="Calibri"/>
          <w:i/>
          <w:w w:val="120"/>
          <w:vertAlign w:val="subscript"/>
        </w:rPr>
        <w:t>i</w:t>
      </w:r>
      <w:r>
        <w:rPr>
          <w:rFonts w:ascii="Calibri" w:hAnsi="Calibri"/>
          <w:w w:val="120"/>
          <w:vertAlign w:val="baseline"/>
        </w:rPr>
        <w:t>(</w:t>
      </w:r>
      <w:r>
        <w:rPr>
          <w:rFonts w:ascii="Calibri" w:hAnsi="Calibri"/>
          <w:i/>
          <w:w w:val="120"/>
          <w:vertAlign w:val="baseline"/>
        </w:rPr>
        <w:t>t</w:t>
      </w:r>
      <w:r>
        <w:rPr>
          <w:rFonts w:ascii="Calibri" w:hAnsi="Calibri"/>
          <w:w w:val="120"/>
          <w:vertAlign w:val="baseline"/>
        </w:rPr>
        <w:t>)</w:t>
      </w:r>
      <w:r>
        <w:rPr>
          <w:rFonts w:ascii="Calibri" w:hAnsi="Calibri"/>
          <w:w w:val="120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∈</w:t>
      </w:r>
      <w:r>
        <w:rPr>
          <w:rFonts w:ascii="Lucida Sans Unicode" w:hAnsi="Lucida Sans Unicode"/>
          <w:w w:val="105"/>
          <w:vertAlign w:val="baseline"/>
        </w:rPr>
        <w:t> </w:t>
      </w:r>
      <w:r>
        <w:rPr>
          <w:rFonts w:ascii="Calibri" w:hAnsi="Calibri"/>
          <w:w w:val="105"/>
          <w:vertAlign w:val="baseline"/>
        </w:rPr>
        <w:t>[0</w:t>
      </w:r>
      <w:r>
        <w:rPr>
          <w:rFonts w:ascii="Calibri" w:hAnsi="Calibri"/>
          <w:i/>
          <w:w w:val="105"/>
          <w:vertAlign w:val="baseline"/>
        </w:rPr>
        <w:t>,</w:t>
      </w:r>
      <w:r>
        <w:rPr>
          <w:rFonts w:ascii="Calibri" w:hAnsi="Calibri"/>
          <w:i/>
          <w:spacing w:val="-12"/>
          <w:w w:val="105"/>
          <w:vertAlign w:val="baseline"/>
        </w:rPr>
        <w:t> </w:t>
      </w:r>
      <w:r>
        <w:rPr>
          <w:rFonts w:ascii="Calibri" w:hAnsi="Calibri"/>
          <w:w w:val="105"/>
          <w:vertAlign w:val="baseline"/>
        </w:rPr>
        <w:t>1]</w:t>
      </w:r>
      <w:r>
        <w:rPr>
          <w:rFonts w:ascii="Calibri" w:hAnsi="Calibri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</w:t>
      </w:r>
      <w:r>
        <w:rPr>
          <w:w w:val="105"/>
          <w:vertAlign w:val="baseline"/>
        </w:rPr>
        <w:t>anomaly </w:t>
      </w:r>
      <w:r>
        <w:rPr>
          <w:spacing w:val="-2"/>
          <w:w w:val="105"/>
          <w:vertAlign w:val="baseline"/>
        </w:rPr>
        <w:t>probability.</w:t>
      </w:r>
      <w:r>
        <w:rPr>
          <w:spacing w:val="2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The</w:t>
      </w:r>
      <w:r>
        <w:rPr>
          <w:spacing w:val="2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model</w:t>
      </w:r>
      <w:r>
        <w:rPr>
          <w:spacing w:val="2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is</w:t>
      </w:r>
      <w:r>
        <w:rPr>
          <w:spacing w:val="2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trained</w:t>
      </w:r>
      <w:r>
        <w:rPr>
          <w:spacing w:val="2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with</w:t>
      </w:r>
      <w:r>
        <w:rPr>
          <w:spacing w:val="2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binary</w:t>
      </w:r>
      <w:r>
        <w:rPr>
          <w:spacing w:val="2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cross-</w:t>
      </w:r>
      <w:r>
        <w:rPr>
          <w:spacing w:val="-4"/>
          <w:w w:val="105"/>
          <w:vertAlign w:val="baseline"/>
        </w:rPr>
        <w:t>entropy</w:t>
      </w:r>
    </w:p>
    <w:p>
      <w:pPr>
        <w:pStyle w:val="BodyText"/>
        <w:spacing w:before="17"/>
        <w:ind w:left="199"/>
        <w:jc w:val="both"/>
      </w:pPr>
      <w:r>
        <w:rPr/>
        <w:t>loss</w:t>
      </w:r>
      <w:r>
        <w:rPr>
          <w:spacing w:val="36"/>
        </w:rPr>
        <w:t> </w:t>
      </w:r>
      <w:r>
        <w:rPr/>
        <w:t>using</w:t>
      </w:r>
      <w:r>
        <w:rPr>
          <w:spacing w:val="36"/>
        </w:rPr>
        <w:t> </w:t>
      </w:r>
      <w:r>
        <w:rPr/>
        <w:t>the</w:t>
      </w:r>
      <w:r>
        <w:rPr>
          <w:spacing w:val="36"/>
        </w:rPr>
        <w:t> </w:t>
      </w:r>
      <w:r>
        <w:rPr/>
        <w:t>Adam</w:t>
      </w:r>
      <w:r>
        <w:rPr>
          <w:spacing w:val="36"/>
        </w:rPr>
        <w:t> </w:t>
      </w:r>
      <w:r>
        <w:rPr/>
        <w:t>optimiser</w:t>
      </w:r>
      <w:r>
        <w:rPr>
          <w:spacing w:val="36"/>
        </w:rPr>
        <w:t> </w:t>
      </w:r>
      <w:r>
        <w:rPr/>
        <w:t>[16]</w:t>
      </w:r>
      <w:r>
        <w:rPr>
          <w:spacing w:val="36"/>
        </w:rPr>
        <w:t> </w:t>
      </w:r>
      <w:r>
        <w:rPr/>
        <w:t>with</w:t>
      </w:r>
      <w:r>
        <w:rPr>
          <w:spacing w:val="36"/>
        </w:rPr>
        <w:t> </w:t>
      </w:r>
      <w:r>
        <w:rPr/>
        <w:t>a</w:t>
      </w:r>
      <w:r>
        <w:rPr>
          <w:spacing w:val="36"/>
        </w:rPr>
        <w:t> </w:t>
      </w:r>
      <w:r>
        <w:rPr/>
        <w:t>learning</w:t>
      </w:r>
      <w:r>
        <w:rPr>
          <w:spacing w:val="36"/>
        </w:rPr>
        <w:t> </w:t>
      </w:r>
      <w:r>
        <w:rPr/>
        <w:t>rate</w:t>
      </w:r>
      <w:r>
        <w:rPr>
          <w:spacing w:val="36"/>
        </w:rPr>
        <w:t> </w:t>
      </w:r>
      <w:r>
        <w:rPr>
          <w:spacing w:val="-5"/>
        </w:rPr>
        <w:t>of</w:t>
      </w:r>
    </w:p>
    <w:p>
      <w:pPr>
        <w:pStyle w:val="BodyText"/>
        <w:spacing w:before="5"/>
        <w:ind w:left="199"/>
        <w:jc w:val="both"/>
      </w:pPr>
      <w:r>
        <w:rPr>
          <w:rFonts w:ascii="Calibri" w:hAnsi="Calibri"/>
          <w:w w:val="105"/>
        </w:rPr>
        <w:t>10</w:t>
      </w:r>
      <w:r>
        <w:rPr>
          <w:rFonts w:ascii="Cambria" w:hAnsi="Cambria"/>
          <w:w w:val="105"/>
          <w:vertAlign w:val="superscript"/>
        </w:rPr>
        <w:t>−</w:t>
      </w:r>
      <w:r>
        <w:rPr>
          <w:rFonts w:ascii="Calibri" w:hAnsi="Calibri"/>
          <w:w w:val="105"/>
          <w:vertAlign w:val="superscript"/>
        </w:rPr>
        <w:t>3</w:t>
      </w:r>
      <w:r>
        <w:rPr>
          <w:rFonts w:ascii="Calibri" w:hAnsi="Calibri"/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over</w:t>
      </w:r>
      <w:r>
        <w:rPr>
          <w:spacing w:val="1"/>
          <w:w w:val="105"/>
          <w:vertAlign w:val="baseline"/>
        </w:rPr>
        <w:t> </w:t>
      </w:r>
      <w:r>
        <w:rPr>
          <w:w w:val="105"/>
          <w:vertAlign w:val="baseline"/>
        </w:rPr>
        <w:t>labelled sequence</w:t>
      </w:r>
      <w:r>
        <w:rPr>
          <w:spacing w:val="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segments.</w:t>
      </w:r>
    </w:p>
    <w:p>
      <w:pPr>
        <w:pStyle w:val="ListParagraph"/>
        <w:numPr>
          <w:ilvl w:val="1"/>
          <w:numId w:val="4"/>
        </w:numPr>
        <w:tabs>
          <w:tab w:pos="662" w:val="left" w:leader="none"/>
        </w:tabs>
        <w:spacing w:line="249" w:lineRule="auto" w:before="30" w:after="0"/>
        <w:ind w:left="199" w:right="257" w:firstLine="199"/>
        <w:jc w:val="both"/>
        <w:rPr>
          <w:sz w:val="20"/>
        </w:rPr>
      </w:pPr>
      <w:r>
        <w:rPr>
          <w:i/>
          <w:sz w:val="20"/>
        </w:rPr>
        <w:t>Layer C: Weighted Ensemble Fusion:</w:t>
      </w:r>
      <w:r>
        <w:rPr>
          <w:i/>
          <w:spacing w:val="40"/>
          <w:sz w:val="20"/>
        </w:rPr>
        <w:t> </w:t>
      </w:r>
      <w:r>
        <w:rPr>
          <w:sz w:val="20"/>
        </w:rPr>
        <w:t>Layers A and </w:t>
      </w:r>
      <w:r>
        <w:rPr>
          <w:sz w:val="20"/>
        </w:rPr>
        <w:t>B are combined through a fixed-weight linear fusion:</w:t>
      </w:r>
    </w:p>
    <w:p>
      <w:pPr>
        <w:tabs>
          <w:tab w:pos="2513" w:val="left" w:leader="none"/>
          <w:tab w:pos="4496" w:val="left" w:leader="none"/>
        </w:tabs>
        <w:spacing w:before="172"/>
        <w:ind w:left="0" w:right="257" w:firstLine="0"/>
        <w:jc w:val="right"/>
        <w:rPr>
          <w:sz w:val="20"/>
        </w:rPr>
      </w:pPr>
      <w:r>
        <w:rPr>
          <w:rFonts w:ascii="Calibri" w:hAnsi="Calibri"/>
          <w:i/>
          <w:spacing w:val="-6"/>
          <w:w w:val="125"/>
          <w:sz w:val="20"/>
        </w:rPr>
        <w:t>s</w:t>
      </w:r>
      <w:r>
        <w:rPr>
          <w:rFonts w:ascii="Calibri" w:hAnsi="Calibri"/>
          <w:i/>
          <w:spacing w:val="-6"/>
          <w:w w:val="125"/>
          <w:sz w:val="20"/>
          <w:vertAlign w:val="subscript"/>
        </w:rPr>
        <w:t>i</w:t>
      </w:r>
      <w:r>
        <w:rPr>
          <w:rFonts w:ascii="Calibri" w:hAnsi="Calibri"/>
          <w:spacing w:val="-6"/>
          <w:w w:val="125"/>
          <w:sz w:val="20"/>
          <w:vertAlign w:val="baseline"/>
        </w:rPr>
        <w:t>(</w:t>
      </w:r>
      <w:r>
        <w:rPr>
          <w:rFonts w:ascii="Calibri" w:hAnsi="Calibri"/>
          <w:i/>
          <w:spacing w:val="-6"/>
          <w:w w:val="125"/>
          <w:sz w:val="20"/>
          <w:vertAlign w:val="baseline"/>
        </w:rPr>
        <w:t>t</w:t>
      </w:r>
      <w:r>
        <w:rPr>
          <w:rFonts w:ascii="Calibri" w:hAnsi="Calibri"/>
          <w:spacing w:val="-6"/>
          <w:w w:val="125"/>
          <w:sz w:val="20"/>
          <w:vertAlign w:val="baseline"/>
        </w:rPr>
        <w:t>)</w:t>
      </w:r>
      <w:r>
        <w:rPr>
          <w:rFonts w:ascii="Calibri" w:hAnsi="Calibri"/>
          <w:spacing w:val="-9"/>
          <w:w w:val="125"/>
          <w:sz w:val="20"/>
          <w:vertAlign w:val="baseline"/>
        </w:rPr>
        <w:t> </w:t>
      </w:r>
      <w:r>
        <w:rPr>
          <w:rFonts w:ascii="Calibri" w:hAnsi="Calibri"/>
          <w:spacing w:val="-6"/>
          <w:w w:val="125"/>
          <w:sz w:val="20"/>
          <w:vertAlign w:val="baseline"/>
        </w:rPr>
        <w:t>= </w:t>
      </w:r>
      <w:r>
        <w:rPr>
          <w:rFonts w:ascii="Calibri" w:hAnsi="Calibri"/>
          <w:i/>
          <w:spacing w:val="-6"/>
          <w:w w:val="115"/>
          <w:sz w:val="20"/>
          <w:vertAlign w:val="baseline"/>
        </w:rPr>
        <w:t>α</w:t>
      </w:r>
      <w:r>
        <w:rPr>
          <w:rFonts w:ascii="Calibri" w:hAnsi="Calibri"/>
          <w:i/>
          <w:spacing w:val="-8"/>
          <w:w w:val="115"/>
          <w:sz w:val="20"/>
          <w:vertAlign w:val="baseline"/>
        </w:rPr>
        <w:t> </w:t>
      </w:r>
      <w:r>
        <w:rPr>
          <w:rFonts w:ascii="Lucida Sans Unicode" w:hAnsi="Lucida Sans Unicode"/>
          <w:spacing w:val="-6"/>
          <w:w w:val="80"/>
          <w:sz w:val="20"/>
          <w:vertAlign w:val="baseline"/>
        </w:rPr>
        <w:t>·</w:t>
      </w:r>
      <w:r>
        <w:rPr>
          <w:rFonts w:ascii="Lucida Sans Unicode" w:hAnsi="Lucida Sans Unicode"/>
          <w:spacing w:val="-28"/>
          <w:w w:val="115"/>
          <w:sz w:val="20"/>
          <w:vertAlign w:val="baseline"/>
        </w:rPr>
        <w:t> </w:t>
      </w:r>
      <w:r>
        <w:rPr>
          <w:rFonts w:ascii="Calibri" w:hAnsi="Calibri"/>
          <w:i/>
          <w:spacing w:val="-6"/>
          <w:w w:val="115"/>
          <w:sz w:val="20"/>
          <w:vertAlign w:val="baseline"/>
        </w:rPr>
        <w:t>d</w:t>
      </w:r>
      <w:r>
        <w:rPr>
          <w:rFonts w:ascii="Calibri" w:hAnsi="Calibri"/>
          <w:spacing w:val="-6"/>
          <w:w w:val="115"/>
          <w:position w:val="5"/>
          <w:sz w:val="20"/>
          <w:vertAlign w:val="baseline"/>
        </w:rPr>
        <w:t>˜</w:t>
      </w:r>
      <w:r>
        <w:rPr>
          <w:rFonts w:ascii="Calibri" w:hAnsi="Calibri"/>
          <w:i/>
          <w:spacing w:val="-6"/>
          <w:w w:val="115"/>
          <w:position w:val="-2"/>
          <w:sz w:val="14"/>
          <w:vertAlign w:val="baseline"/>
        </w:rPr>
        <w:t>i</w:t>
      </w:r>
      <w:r>
        <w:rPr>
          <w:rFonts w:ascii="Calibri" w:hAnsi="Calibri"/>
          <w:spacing w:val="-6"/>
          <w:w w:val="115"/>
          <w:sz w:val="20"/>
          <w:vertAlign w:val="baseline"/>
        </w:rPr>
        <w:t>(</w:t>
      </w:r>
      <w:r>
        <w:rPr>
          <w:rFonts w:ascii="Calibri" w:hAnsi="Calibri"/>
          <w:i/>
          <w:spacing w:val="-6"/>
          <w:w w:val="115"/>
          <w:sz w:val="20"/>
          <w:vertAlign w:val="baseline"/>
        </w:rPr>
        <w:t>t</w:t>
      </w:r>
      <w:r>
        <w:rPr>
          <w:rFonts w:ascii="Calibri" w:hAnsi="Calibri"/>
          <w:spacing w:val="-6"/>
          <w:w w:val="115"/>
          <w:sz w:val="20"/>
          <w:vertAlign w:val="baseline"/>
        </w:rPr>
        <w:t>)</w:t>
      </w:r>
      <w:r>
        <w:rPr>
          <w:rFonts w:ascii="Calibri" w:hAnsi="Calibri"/>
          <w:spacing w:val="-8"/>
          <w:w w:val="115"/>
          <w:sz w:val="20"/>
          <w:vertAlign w:val="baseline"/>
        </w:rPr>
        <w:t> </w:t>
      </w:r>
      <w:r>
        <w:rPr>
          <w:rFonts w:ascii="Calibri" w:hAnsi="Calibri"/>
          <w:spacing w:val="-6"/>
          <w:w w:val="125"/>
          <w:sz w:val="20"/>
          <w:vertAlign w:val="baseline"/>
        </w:rPr>
        <w:t>+</w:t>
      </w:r>
      <w:r>
        <w:rPr>
          <w:rFonts w:ascii="Calibri" w:hAnsi="Calibri"/>
          <w:spacing w:val="-12"/>
          <w:w w:val="125"/>
          <w:sz w:val="20"/>
          <w:vertAlign w:val="baseline"/>
        </w:rPr>
        <w:t> </w:t>
      </w:r>
      <w:r>
        <w:rPr>
          <w:rFonts w:ascii="Calibri" w:hAnsi="Calibri"/>
          <w:i/>
          <w:spacing w:val="-6"/>
          <w:w w:val="115"/>
          <w:sz w:val="20"/>
          <w:vertAlign w:val="baseline"/>
        </w:rPr>
        <w:t>β</w:t>
      </w:r>
      <w:r>
        <w:rPr>
          <w:rFonts w:ascii="Calibri" w:hAnsi="Calibri"/>
          <w:i/>
          <w:w w:val="115"/>
          <w:sz w:val="20"/>
          <w:vertAlign w:val="baseline"/>
        </w:rPr>
        <w:t> </w:t>
      </w:r>
      <w:r>
        <w:rPr>
          <w:rFonts w:ascii="Lucida Sans Unicode" w:hAnsi="Lucida Sans Unicode"/>
          <w:spacing w:val="-6"/>
          <w:w w:val="80"/>
          <w:sz w:val="20"/>
          <w:vertAlign w:val="baseline"/>
        </w:rPr>
        <w:t>·</w:t>
      </w:r>
      <w:r>
        <w:rPr>
          <w:rFonts w:ascii="Lucida Sans Unicode" w:hAnsi="Lucida Sans Unicode"/>
          <w:spacing w:val="-28"/>
          <w:w w:val="115"/>
          <w:sz w:val="20"/>
          <w:vertAlign w:val="baseline"/>
        </w:rPr>
        <w:t> </w:t>
      </w:r>
      <w:r>
        <w:rPr>
          <w:rFonts w:ascii="Calibri" w:hAnsi="Calibri"/>
          <w:i/>
          <w:spacing w:val="-6"/>
          <w:w w:val="115"/>
          <w:sz w:val="20"/>
          <w:vertAlign w:val="baseline"/>
        </w:rPr>
        <w:t>p</w:t>
      </w:r>
      <w:r>
        <w:rPr>
          <w:rFonts w:ascii="Calibri" w:hAnsi="Calibri"/>
          <w:i/>
          <w:spacing w:val="-6"/>
          <w:w w:val="115"/>
          <w:sz w:val="20"/>
          <w:vertAlign w:val="subscript"/>
        </w:rPr>
        <w:t>i</w:t>
      </w:r>
      <w:r>
        <w:rPr>
          <w:rFonts w:ascii="Calibri" w:hAnsi="Calibri"/>
          <w:spacing w:val="-6"/>
          <w:w w:val="115"/>
          <w:sz w:val="20"/>
          <w:vertAlign w:val="baseline"/>
        </w:rPr>
        <w:t>(</w:t>
      </w:r>
      <w:r>
        <w:rPr>
          <w:rFonts w:ascii="Calibri" w:hAnsi="Calibri"/>
          <w:i/>
          <w:spacing w:val="-6"/>
          <w:w w:val="115"/>
          <w:sz w:val="20"/>
          <w:vertAlign w:val="baseline"/>
        </w:rPr>
        <w:t>t</w:t>
      </w:r>
      <w:r>
        <w:rPr>
          <w:rFonts w:ascii="Calibri" w:hAnsi="Calibri"/>
          <w:spacing w:val="-6"/>
          <w:w w:val="115"/>
          <w:sz w:val="20"/>
          <w:vertAlign w:val="baseline"/>
        </w:rPr>
        <w:t>)</w:t>
      </w:r>
      <w:r>
        <w:rPr>
          <w:rFonts w:ascii="Calibri" w:hAnsi="Calibri"/>
          <w:i/>
          <w:spacing w:val="-6"/>
          <w:w w:val="115"/>
          <w:sz w:val="20"/>
          <w:vertAlign w:val="baseline"/>
        </w:rPr>
        <w:t>,</w:t>
      </w:r>
      <w:r>
        <w:rPr>
          <w:rFonts w:ascii="Calibri" w:hAnsi="Calibri"/>
          <w:i/>
          <w:sz w:val="20"/>
          <w:vertAlign w:val="baseline"/>
        </w:rPr>
        <w:tab/>
      </w:r>
      <w:r>
        <w:rPr>
          <w:rFonts w:ascii="Calibri" w:hAnsi="Calibri"/>
          <w:i/>
          <w:w w:val="115"/>
          <w:sz w:val="20"/>
          <w:vertAlign w:val="baseline"/>
        </w:rPr>
        <w:t>α</w:t>
      </w:r>
      <w:r>
        <w:rPr>
          <w:rFonts w:ascii="Calibri" w:hAnsi="Calibri"/>
          <w:i/>
          <w:spacing w:val="-2"/>
          <w:w w:val="115"/>
          <w:sz w:val="20"/>
          <w:vertAlign w:val="baseline"/>
        </w:rPr>
        <w:t> </w:t>
      </w:r>
      <w:r>
        <w:rPr>
          <w:rFonts w:ascii="Calibri" w:hAnsi="Calibri"/>
          <w:w w:val="135"/>
          <w:sz w:val="20"/>
          <w:vertAlign w:val="baseline"/>
        </w:rPr>
        <w:t>=</w:t>
      </w:r>
      <w:r>
        <w:rPr>
          <w:rFonts w:ascii="Calibri" w:hAnsi="Calibri"/>
          <w:spacing w:val="-10"/>
          <w:w w:val="135"/>
          <w:sz w:val="20"/>
          <w:vertAlign w:val="baseline"/>
        </w:rPr>
        <w:t> </w:t>
      </w:r>
      <w:r>
        <w:rPr>
          <w:rFonts w:ascii="Calibri" w:hAnsi="Calibri"/>
          <w:w w:val="115"/>
          <w:sz w:val="20"/>
          <w:vertAlign w:val="baseline"/>
        </w:rPr>
        <w:t>0</w:t>
      </w:r>
      <w:r>
        <w:rPr>
          <w:rFonts w:ascii="Calibri" w:hAnsi="Calibri"/>
          <w:i/>
          <w:w w:val="115"/>
          <w:sz w:val="20"/>
          <w:vertAlign w:val="baseline"/>
        </w:rPr>
        <w:t>.</w:t>
      </w:r>
      <w:r>
        <w:rPr>
          <w:rFonts w:ascii="Calibri" w:hAnsi="Calibri"/>
          <w:w w:val="115"/>
          <w:sz w:val="20"/>
          <w:vertAlign w:val="baseline"/>
        </w:rPr>
        <w:t>48</w:t>
      </w:r>
      <w:r>
        <w:rPr>
          <w:rFonts w:ascii="Calibri" w:hAnsi="Calibri"/>
          <w:i/>
          <w:w w:val="115"/>
          <w:sz w:val="20"/>
          <w:vertAlign w:val="baseline"/>
        </w:rPr>
        <w:t>,</w:t>
      </w:r>
      <w:r>
        <w:rPr>
          <w:rFonts w:ascii="Calibri" w:hAnsi="Calibri"/>
          <w:i/>
          <w:spacing w:val="64"/>
          <w:w w:val="150"/>
          <w:sz w:val="20"/>
          <w:vertAlign w:val="baseline"/>
        </w:rPr>
        <w:t> </w:t>
      </w:r>
      <w:r>
        <w:rPr>
          <w:rFonts w:ascii="Calibri" w:hAnsi="Calibri"/>
          <w:i/>
          <w:w w:val="115"/>
          <w:sz w:val="20"/>
          <w:vertAlign w:val="baseline"/>
        </w:rPr>
        <w:t>β</w:t>
      </w:r>
      <w:r>
        <w:rPr>
          <w:rFonts w:ascii="Calibri" w:hAnsi="Calibri"/>
          <w:i/>
          <w:spacing w:val="-1"/>
          <w:w w:val="135"/>
          <w:sz w:val="20"/>
          <w:vertAlign w:val="baseline"/>
        </w:rPr>
        <w:t> </w:t>
      </w:r>
      <w:r>
        <w:rPr>
          <w:rFonts w:ascii="Calibri" w:hAnsi="Calibri"/>
          <w:w w:val="135"/>
          <w:sz w:val="20"/>
          <w:vertAlign w:val="baseline"/>
        </w:rPr>
        <w:t>=</w:t>
      </w:r>
      <w:r>
        <w:rPr>
          <w:rFonts w:ascii="Calibri" w:hAnsi="Calibri"/>
          <w:spacing w:val="-11"/>
          <w:w w:val="135"/>
          <w:sz w:val="20"/>
          <w:vertAlign w:val="baseline"/>
        </w:rPr>
        <w:t> </w:t>
      </w:r>
      <w:r>
        <w:rPr>
          <w:rFonts w:ascii="Calibri" w:hAnsi="Calibri"/>
          <w:spacing w:val="-4"/>
          <w:w w:val="115"/>
          <w:sz w:val="20"/>
          <w:vertAlign w:val="baseline"/>
        </w:rPr>
        <w:t>0</w:t>
      </w:r>
      <w:r>
        <w:rPr>
          <w:rFonts w:ascii="Calibri" w:hAnsi="Calibri"/>
          <w:i/>
          <w:spacing w:val="-4"/>
          <w:w w:val="115"/>
          <w:sz w:val="20"/>
          <w:vertAlign w:val="baseline"/>
        </w:rPr>
        <w:t>.</w:t>
      </w:r>
      <w:r>
        <w:rPr>
          <w:rFonts w:ascii="Calibri" w:hAnsi="Calibri"/>
          <w:spacing w:val="-4"/>
          <w:w w:val="115"/>
          <w:sz w:val="20"/>
          <w:vertAlign w:val="baseline"/>
        </w:rPr>
        <w:t>52</w:t>
      </w:r>
      <w:r>
        <w:rPr>
          <w:rFonts w:ascii="Calibri" w:hAnsi="Calibri"/>
          <w:sz w:val="20"/>
          <w:vertAlign w:val="baseline"/>
        </w:rPr>
        <w:tab/>
      </w:r>
      <w:r>
        <w:rPr>
          <w:spacing w:val="-5"/>
          <w:w w:val="115"/>
          <w:sz w:val="20"/>
          <w:vertAlign w:val="baseline"/>
        </w:rPr>
        <w:t>(3)</w:t>
      </w:r>
    </w:p>
    <w:p>
      <w:pPr>
        <w:pStyle w:val="BodyText"/>
        <w:spacing w:line="244" w:lineRule="auto" w:before="187"/>
        <w:ind w:left="199" w:right="257"/>
        <w:jc w:val="both"/>
      </w:pPr>
      <w:r>
        <w:rPr/>
        <w:t>The weights </w:t>
      </w:r>
      <w:r>
        <w:rPr>
          <w:rFonts w:ascii="Calibri" w:hAnsi="Calibri"/>
          <w:i/>
        </w:rPr>
        <w:t>α </w:t>
      </w:r>
      <w:r>
        <w:rPr/>
        <w:t>and </w:t>
      </w:r>
      <w:r>
        <w:rPr>
          <w:rFonts w:ascii="Calibri" w:hAnsi="Calibri"/>
          <w:i/>
        </w:rPr>
        <w:t>β </w:t>
      </w:r>
      <w:r>
        <w:rPr/>
        <w:t>were selected through a grid search over the held-out validation partition, minimising a cost </w:t>
      </w:r>
      <w:r>
        <w:rPr/>
        <w:t>function that penalises both missed detections and false alarms with equal</w:t>
      </w:r>
      <w:r>
        <w:rPr>
          <w:spacing w:val="39"/>
        </w:rPr>
        <w:t> </w:t>
      </w:r>
      <w:r>
        <w:rPr/>
        <w:t>weight.</w:t>
      </w:r>
      <w:r>
        <w:rPr>
          <w:spacing w:val="39"/>
        </w:rPr>
        <w:t> </w:t>
      </w:r>
      <w:r>
        <w:rPr/>
        <w:t>The</w:t>
      </w:r>
      <w:r>
        <w:rPr>
          <w:spacing w:val="39"/>
        </w:rPr>
        <w:t> </w:t>
      </w:r>
      <w:r>
        <w:rPr/>
        <w:t>resulting</w:t>
      </w:r>
      <w:r>
        <w:rPr>
          <w:spacing w:val="39"/>
        </w:rPr>
        <w:t> </w:t>
      </w:r>
      <w:r>
        <w:rPr/>
        <w:t>scores</w:t>
      </w:r>
      <w:r>
        <w:rPr>
          <w:spacing w:val="39"/>
        </w:rPr>
        <w:t> </w:t>
      </w:r>
      <w:r>
        <w:rPr/>
        <w:t>favour</w:t>
      </w:r>
      <w:r>
        <w:rPr>
          <w:spacing w:val="39"/>
        </w:rPr>
        <w:t> </w:t>
      </w:r>
      <w:r>
        <w:rPr/>
        <w:t>temporal</w:t>
      </w:r>
      <w:r>
        <w:rPr>
          <w:spacing w:val="39"/>
        </w:rPr>
        <w:t> </w:t>
      </w:r>
      <w:r>
        <w:rPr/>
        <w:t>context (</w:t>
      </w:r>
      <w:r>
        <w:rPr>
          <w:rFonts w:ascii="Calibri" w:hAnsi="Calibri"/>
          <w:i/>
        </w:rPr>
        <w:t>β </w:t>
      </w:r>
      <w:r>
        <w:rPr>
          <w:rFonts w:ascii="Calibri" w:hAnsi="Calibri"/>
          <w:i/>
          <w:w w:val="125"/>
        </w:rPr>
        <w:t>&gt;</w:t>
      </w:r>
      <w:r>
        <w:rPr>
          <w:rFonts w:ascii="Calibri" w:hAnsi="Calibri"/>
          <w:i/>
          <w:w w:val="125"/>
        </w:rPr>
        <w:t> </w:t>
      </w:r>
      <w:r>
        <w:rPr>
          <w:rFonts w:ascii="Calibri" w:hAnsi="Calibri"/>
          <w:i/>
        </w:rPr>
        <w:t>α</w:t>
      </w:r>
      <w:r>
        <w:rPr/>
        <w:t>) because the LSTM branch provides stronger speci-ficity,</w:t>
      </w:r>
      <w:r>
        <w:rPr>
          <w:spacing w:val="-6"/>
        </w:rPr>
        <w:t> </w:t>
      </w:r>
      <w:r>
        <w:rPr/>
        <w:t>while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deviation</w:t>
      </w:r>
      <w:r>
        <w:rPr>
          <w:spacing w:val="-6"/>
        </w:rPr>
        <w:t> </w:t>
      </w:r>
      <w:r>
        <w:rPr/>
        <w:t>score</w:t>
      </w:r>
      <w:r>
        <w:rPr>
          <w:spacing w:val="-6"/>
        </w:rPr>
        <w:t> </w:t>
      </w:r>
      <w:r>
        <w:rPr/>
        <w:t>provides</w:t>
      </w:r>
      <w:r>
        <w:rPr>
          <w:spacing w:val="-6"/>
        </w:rPr>
        <w:t> </w:t>
      </w:r>
      <w:r>
        <w:rPr/>
        <w:t>faster</w:t>
      </w:r>
      <w:r>
        <w:rPr>
          <w:spacing w:val="-6"/>
        </w:rPr>
        <w:t> </w:t>
      </w:r>
      <w:r>
        <w:rPr/>
        <w:t>initial</w:t>
      </w:r>
      <w:r>
        <w:rPr>
          <w:spacing w:val="-6"/>
        </w:rPr>
        <w:t> </w:t>
      </w:r>
      <w:r>
        <w:rPr/>
        <w:t>response before temporal context accumulates.</w:t>
      </w:r>
    </w:p>
    <w:p>
      <w:pPr>
        <w:pStyle w:val="ListParagraph"/>
        <w:numPr>
          <w:ilvl w:val="1"/>
          <w:numId w:val="4"/>
        </w:numPr>
        <w:tabs>
          <w:tab w:pos="662" w:val="left" w:leader="none"/>
        </w:tabs>
        <w:spacing w:line="249" w:lineRule="auto" w:before="38" w:after="0"/>
        <w:ind w:left="199" w:right="257" w:firstLine="199"/>
        <w:jc w:val="both"/>
        <w:rPr>
          <w:sz w:val="20"/>
        </w:rPr>
      </w:pPr>
      <w:r>
        <w:rPr>
          <w:i/>
          <w:sz w:val="20"/>
        </w:rPr>
        <w:t>Multi-Detector Module:</w:t>
      </w:r>
      <w:r>
        <w:rPr>
          <w:i/>
          <w:spacing w:val="35"/>
          <w:sz w:val="20"/>
        </w:rPr>
        <w:t> </w:t>
      </w:r>
      <w:r>
        <w:rPr>
          <w:sz w:val="20"/>
        </w:rPr>
        <w:t>Three specialised detectors </w:t>
      </w:r>
      <w:r>
        <w:rPr>
          <w:sz w:val="20"/>
        </w:rPr>
        <w:t>run concurrently on the same measurement stream and provide attack-category-level classification independently of the en-semble score.</w:t>
      </w:r>
    </w:p>
    <w:p>
      <w:pPr>
        <w:spacing w:line="244" w:lineRule="auto" w:before="20"/>
        <w:ind w:left="199" w:right="257" w:firstLine="199"/>
        <w:jc w:val="both"/>
        <w:rPr>
          <w:sz w:val="20"/>
        </w:rPr>
      </w:pPr>
      <w:r>
        <w:rPr>
          <w:b/>
          <w:sz w:val="20"/>
        </w:rPr>
        <w:t>CUSUM Detector (FDI). </w:t>
      </w:r>
      <w:r>
        <w:rPr>
          <w:sz w:val="20"/>
        </w:rPr>
        <w:t>The cumulative sum statistic </w:t>
      </w:r>
      <w:r>
        <w:rPr>
          <w:sz w:val="20"/>
        </w:rPr>
        <w:t>for </w:t>
      </w:r>
      <w:r>
        <w:rPr>
          <w:w w:val="105"/>
          <w:sz w:val="20"/>
        </w:rPr>
        <w:t>agent </w:t>
      </w:r>
      <w:r>
        <w:rPr>
          <w:rFonts w:ascii="Calibri"/>
          <w:i/>
          <w:w w:val="120"/>
          <w:sz w:val="20"/>
        </w:rPr>
        <w:t>i</w:t>
      </w:r>
      <w:r>
        <w:rPr>
          <w:rFonts w:ascii="Calibri"/>
          <w:i/>
          <w:w w:val="120"/>
          <w:sz w:val="20"/>
        </w:rPr>
        <w:t> </w:t>
      </w:r>
      <w:r>
        <w:rPr>
          <w:w w:val="105"/>
          <w:sz w:val="20"/>
        </w:rPr>
        <w:t>is maintained as:</w:t>
      </w:r>
    </w:p>
    <w:p>
      <w:pPr>
        <w:tabs>
          <w:tab w:pos="4987" w:val="left" w:leader="none"/>
        </w:tabs>
        <w:spacing w:before="200"/>
        <w:ind w:left="483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92736">
                <wp:simplePos x="0" y="0"/>
                <wp:positionH relativeFrom="page">
                  <wp:posOffset>4232859</wp:posOffset>
                </wp:positionH>
                <wp:positionV relativeFrom="paragraph">
                  <wp:posOffset>235520</wp:posOffset>
                </wp:positionV>
                <wp:extent cx="36195" cy="8890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361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75"/>
                                <w:sz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3.29599pt;margin-top:18.544958pt;width:2.85pt;height:7pt;mso-position-horizontal-relative:page;mso-position-vertical-relative:paragraph;z-index:-16223744" type="#_x0000_t202" id="docshape3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75"/>
                          <w:sz w:val="14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93248">
                <wp:simplePos x="0" y="0"/>
                <wp:positionH relativeFrom="page">
                  <wp:posOffset>5156162</wp:posOffset>
                </wp:positionH>
                <wp:positionV relativeFrom="paragraph">
                  <wp:posOffset>235520</wp:posOffset>
                </wp:positionV>
                <wp:extent cx="36195" cy="8890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361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75"/>
                                <w:sz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5.997009pt;margin-top:18.544958pt;width:2.85pt;height:7pt;mso-position-horizontal-relative:page;mso-position-vertical-relative:paragraph;z-index:-16223232" type="#_x0000_t202" id="docshape4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75"/>
                          <w:sz w:val="14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93760">
                <wp:simplePos x="0" y="0"/>
                <wp:positionH relativeFrom="page">
                  <wp:posOffset>5781941</wp:posOffset>
                </wp:positionH>
                <wp:positionV relativeFrom="paragraph">
                  <wp:posOffset>235520</wp:posOffset>
                </wp:positionV>
                <wp:extent cx="36195" cy="8890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361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75"/>
                                <w:sz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5.270996pt;margin-top:18.544958pt;width:2.85pt;height:7pt;mso-position-horizontal-relative:page;mso-position-vertical-relative:paragraph;z-index:-16222720" type="#_x0000_t202" id="docshape5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75"/>
                          <w:sz w:val="14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94272">
                <wp:simplePos x="0" y="0"/>
                <wp:positionH relativeFrom="page">
                  <wp:posOffset>6298247</wp:posOffset>
                </wp:positionH>
                <wp:positionV relativeFrom="paragraph">
                  <wp:posOffset>233984</wp:posOffset>
                </wp:positionV>
                <wp:extent cx="50800" cy="8890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10"/>
                                <w:sz w:val="14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5.924988pt;margin-top:18.423958pt;width:4pt;height:7pt;mso-position-horizontal-relative:page;mso-position-vertical-relative:paragraph;z-index:-16222208" type="#_x0000_t202" id="docshape6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14"/>
                        </w:rPr>
                      </w:pPr>
                      <w:r>
                        <w:rPr>
                          <w:rFonts w:ascii="Calibri"/>
                          <w:spacing w:val="-10"/>
                          <w:w w:val="110"/>
                          <w:sz w:val="14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25"/>
          <w:sz w:val="20"/>
        </w:rPr>
        <w:t>C</w:t>
      </w:r>
      <w:r>
        <w:rPr>
          <w:rFonts w:ascii="Calibri" w:hAnsi="Calibri"/>
          <w:w w:val="125"/>
          <w:sz w:val="20"/>
          <w:vertAlign w:val="superscript"/>
        </w:rPr>
        <w:t>+</w:t>
      </w:r>
      <w:r>
        <w:rPr>
          <w:rFonts w:ascii="Calibri" w:hAnsi="Calibri"/>
          <w:w w:val="125"/>
          <w:sz w:val="20"/>
          <w:vertAlign w:val="baseline"/>
        </w:rPr>
        <w:t>(</w:t>
      </w:r>
      <w:r>
        <w:rPr>
          <w:rFonts w:ascii="Calibri" w:hAnsi="Calibri"/>
          <w:i/>
          <w:w w:val="125"/>
          <w:sz w:val="20"/>
          <w:vertAlign w:val="baseline"/>
        </w:rPr>
        <w:t>t</w:t>
      </w:r>
      <w:r>
        <w:rPr>
          <w:rFonts w:ascii="Calibri" w:hAnsi="Calibri"/>
          <w:w w:val="125"/>
          <w:sz w:val="20"/>
          <w:vertAlign w:val="baseline"/>
        </w:rPr>
        <w:t>)</w:t>
      </w:r>
      <w:r>
        <w:rPr>
          <w:rFonts w:ascii="Calibri" w:hAnsi="Calibri"/>
          <w:spacing w:val="-3"/>
          <w:w w:val="125"/>
          <w:sz w:val="20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=</w:t>
      </w:r>
      <w:r>
        <w:rPr>
          <w:rFonts w:ascii="Calibri" w:hAnsi="Calibri"/>
          <w:spacing w:val="-2"/>
          <w:w w:val="125"/>
          <w:sz w:val="20"/>
          <w:vertAlign w:val="baseline"/>
        </w:rPr>
        <w:t> </w:t>
      </w:r>
      <w:r>
        <w:rPr>
          <w:rFonts w:ascii="Calibri" w:hAnsi="Calibri"/>
          <w:w w:val="120"/>
          <w:sz w:val="20"/>
          <w:vertAlign w:val="baseline"/>
        </w:rPr>
        <w:t>max</w:t>
      </w:r>
      <w:r>
        <w:rPr>
          <w:rFonts w:ascii="Lucida Sans Unicode" w:hAnsi="Lucida Sans Unicode"/>
          <w:spacing w:val="14"/>
          <w:w w:val="120"/>
          <w:position w:val="16"/>
          <w:sz w:val="20"/>
          <w:vertAlign w:val="baseline"/>
        </w:rPr>
        <w:t> </w:t>
      </w:r>
      <w:r>
        <w:rPr>
          <w:rFonts w:ascii="Calibri" w:hAnsi="Calibri"/>
          <w:w w:val="120"/>
          <w:sz w:val="20"/>
          <w:vertAlign w:val="baseline"/>
        </w:rPr>
        <w:t>0</w:t>
      </w:r>
      <w:r>
        <w:rPr>
          <w:rFonts w:ascii="Calibri" w:hAnsi="Calibri"/>
          <w:i/>
          <w:w w:val="120"/>
          <w:sz w:val="20"/>
          <w:vertAlign w:val="baseline"/>
        </w:rPr>
        <w:t>,</w:t>
      </w:r>
      <w:r>
        <w:rPr>
          <w:rFonts w:ascii="Calibri" w:hAnsi="Calibri"/>
          <w:i/>
          <w:spacing w:val="30"/>
          <w:w w:val="125"/>
          <w:sz w:val="20"/>
          <w:vertAlign w:val="baseline"/>
        </w:rPr>
        <w:t> </w:t>
      </w:r>
      <w:r>
        <w:rPr>
          <w:rFonts w:ascii="Calibri" w:hAnsi="Calibri"/>
          <w:i/>
          <w:w w:val="125"/>
          <w:sz w:val="20"/>
          <w:vertAlign w:val="baseline"/>
        </w:rPr>
        <w:t>C</w:t>
      </w:r>
      <w:r>
        <w:rPr>
          <w:rFonts w:ascii="Calibri" w:hAnsi="Calibri"/>
          <w:w w:val="125"/>
          <w:sz w:val="20"/>
          <w:vertAlign w:val="superscript"/>
        </w:rPr>
        <w:t>+</w:t>
      </w:r>
      <w:r>
        <w:rPr>
          <w:rFonts w:ascii="Calibri" w:hAnsi="Calibri"/>
          <w:w w:val="125"/>
          <w:sz w:val="20"/>
          <w:vertAlign w:val="baseline"/>
        </w:rPr>
        <w:t>(</w:t>
      </w:r>
      <w:r>
        <w:rPr>
          <w:rFonts w:ascii="Calibri" w:hAnsi="Calibri"/>
          <w:i/>
          <w:w w:val="125"/>
          <w:sz w:val="20"/>
          <w:vertAlign w:val="baseline"/>
        </w:rPr>
        <w:t>t</w:t>
      </w:r>
      <w:r>
        <w:rPr>
          <w:rFonts w:ascii="Lucida Sans Unicode" w:hAnsi="Lucida Sans Unicode"/>
          <w:w w:val="125"/>
          <w:sz w:val="20"/>
          <w:vertAlign w:val="baseline"/>
        </w:rPr>
        <w:t>−</w:t>
      </w:r>
      <w:r>
        <w:rPr>
          <w:rFonts w:ascii="Calibri" w:hAnsi="Calibri"/>
          <w:w w:val="125"/>
          <w:sz w:val="20"/>
          <w:vertAlign w:val="baseline"/>
        </w:rPr>
        <w:t>1)</w:t>
      </w:r>
      <w:r>
        <w:rPr>
          <w:rFonts w:ascii="Calibri" w:hAnsi="Calibri"/>
          <w:spacing w:val="-12"/>
          <w:w w:val="125"/>
          <w:sz w:val="20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+</w:t>
      </w:r>
      <w:r>
        <w:rPr>
          <w:rFonts w:ascii="Calibri" w:hAnsi="Calibri"/>
          <w:spacing w:val="-13"/>
          <w:w w:val="125"/>
          <w:sz w:val="20"/>
          <w:vertAlign w:val="baseline"/>
        </w:rPr>
        <w:t> </w:t>
      </w:r>
      <w:r>
        <w:rPr>
          <w:rFonts w:ascii="Calibri" w:hAnsi="Calibri"/>
          <w:i/>
          <w:w w:val="125"/>
          <w:sz w:val="20"/>
          <w:vertAlign w:val="baseline"/>
        </w:rPr>
        <w:t>x</w:t>
      </w:r>
      <w:r>
        <w:rPr>
          <w:rFonts w:ascii="Calibri" w:hAnsi="Calibri"/>
          <w:w w:val="125"/>
          <w:sz w:val="20"/>
          <w:vertAlign w:val="superscript"/>
        </w:rPr>
        <w:t>(</w:t>
      </w:r>
      <w:r>
        <w:rPr>
          <w:rFonts w:ascii="Calibri" w:hAnsi="Calibri"/>
          <w:i/>
          <w:w w:val="125"/>
          <w:sz w:val="20"/>
          <w:vertAlign w:val="superscript"/>
        </w:rPr>
        <w:t>k</w:t>
      </w:r>
      <w:r>
        <w:rPr>
          <w:rFonts w:ascii="Calibri" w:hAnsi="Calibri"/>
          <w:w w:val="125"/>
          <w:sz w:val="20"/>
          <w:vertAlign w:val="superscript"/>
        </w:rPr>
        <w:t>)</w:t>
      </w:r>
      <w:r>
        <w:rPr>
          <w:rFonts w:ascii="Calibri" w:hAnsi="Calibri"/>
          <w:w w:val="125"/>
          <w:sz w:val="20"/>
          <w:vertAlign w:val="baseline"/>
        </w:rPr>
        <w:t>(</w:t>
      </w:r>
      <w:r>
        <w:rPr>
          <w:rFonts w:ascii="Calibri" w:hAnsi="Calibri"/>
          <w:i/>
          <w:w w:val="125"/>
          <w:sz w:val="20"/>
          <w:vertAlign w:val="baseline"/>
        </w:rPr>
        <w:t>t</w:t>
      </w:r>
      <w:r>
        <w:rPr>
          <w:rFonts w:ascii="Calibri" w:hAnsi="Calibri"/>
          <w:w w:val="125"/>
          <w:sz w:val="20"/>
          <w:vertAlign w:val="baseline"/>
        </w:rPr>
        <w:t>)</w:t>
      </w:r>
      <w:r>
        <w:rPr>
          <w:rFonts w:ascii="Calibri" w:hAnsi="Calibri"/>
          <w:spacing w:val="-13"/>
          <w:w w:val="125"/>
          <w:sz w:val="20"/>
          <w:vertAlign w:val="baseline"/>
        </w:rPr>
        <w:t> </w:t>
      </w:r>
      <w:r>
        <w:rPr>
          <w:rFonts w:ascii="Lucida Sans Unicode" w:hAnsi="Lucida Sans Unicode"/>
          <w:w w:val="125"/>
          <w:sz w:val="20"/>
          <w:vertAlign w:val="baseline"/>
        </w:rPr>
        <w:t>−</w:t>
      </w:r>
      <w:r>
        <w:rPr>
          <w:rFonts w:ascii="Lucida Sans Unicode" w:hAnsi="Lucida Sans Unicode"/>
          <w:spacing w:val="-35"/>
          <w:w w:val="125"/>
          <w:sz w:val="20"/>
          <w:vertAlign w:val="baseline"/>
        </w:rPr>
        <w:t> </w:t>
      </w:r>
      <w:r>
        <w:rPr>
          <w:rFonts w:ascii="Calibri" w:hAnsi="Calibri"/>
          <w:i/>
          <w:w w:val="125"/>
          <w:sz w:val="20"/>
          <w:vertAlign w:val="baseline"/>
        </w:rPr>
        <w:t>µ</w:t>
      </w:r>
      <w:r>
        <w:rPr>
          <w:rFonts w:ascii="Calibri" w:hAnsi="Calibri"/>
          <w:w w:val="125"/>
          <w:sz w:val="20"/>
          <w:vertAlign w:val="superscript"/>
        </w:rPr>
        <w:t>(</w:t>
      </w:r>
      <w:r>
        <w:rPr>
          <w:rFonts w:ascii="Calibri" w:hAnsi="Calibri"/>
          <w:i/>
          <w:w w:val="125"/>
          <w:sz w:val="20"/>
          <w:vertAlign w:val="superscript"/>
        </w:rPr>
        <w:t>k</w:t>
      </w:r>
      <w:r>
        <w:rPr>
          <w:rFonts w:ascii="Calibri" w:hAnsi="Calibri"/>
          <w:w w:val="125"/>
          <w:sz w:val="20"/>
          <w:vertAlign w:val="superscript"/>
        </w:rPr>
        <w:t>)</w:t>
      </w:r>
      <w:r>
        <w:rPr>
          <w:rFonts w:ascii="Calibri" w:hAnsi="Calibri"/>
          <w:spacing w:val="-3"/>
          <w:w w:val="125"/>
          <w:sz w:val="20"/>
          <w:vertAlign w:val="baseline"/>
        </w:rPr>
        <w:t> </w:t>
      </w:r>
      <w:r>
        <w:rPr>
          <w:rFonts w:ascii="Lucida Sans Unicode" w:hAnsi="Lucida Sans Unicode"/>
          <w:w w:val="125"/>
          <w:sz w:val="20"/>
          <w:vertAlign w:val="baseline"/>
        </w:rPr>
        <w:t>−</w:t>
      </w:r>
      <w:r>
        <w:rPr>
          <w:rFonts w:ascii="Lucida Sans Unicode" w:hAnsi="Lucida Sans Unicode"/>
          <w:spacing w:val="-35"/>
          <w:w w:val="125"/>
          <w:sz w:val="20"/>
          <w:vertAlign w:val="baseline"/>
        </w:rPr>
        <w:t> </w:t>
      </w:r>
      <w:r>
        <w:rPr>
          <w:rFonts w:ascii="Calibri" w:hAnsi="Calibri"/>
          <w:i/>
          <w:spacing w:val="-4"/>
          <w:w w:val="120"/>
          <w:sz w:val="20"/>
          <w:vertAlign w:val="baseline"/>
        </w:rPr>
        <w:t>k</w:t>
      </w:r>
      <w:r>
        <w:rPr>
          <w:spacing w:val="-4"/>
          <w:w w:val="120"/>
          <w:sz w:val="20"/>
          <w:vertAlign w:val="subscript"/>
        </w:rPr>
        <w:t>ref</w:t>
      </w:r>
      <w:r>
        <w:rPr>
          <w:rFonts w:ascii="Lucida Sans Unicode" w:hAnsi="Lucida Sans Unicode"/>
          <w:position w:val="16"/>
          <w:sz w:val="20"/>
          <w:vertAlign w:val="baseline"/>
        </w:rPr>
        <w:tab/>
      </w:r>
      <w:r>
        <w:rPr>
          <w:spacing w:val="-5"/>
          <w:w w:val="120"/>
          <w:sz w:val="20"/>
          <w:vertAlign w:val="baseline"/>
        </w:rPr>
        <w:t>(4)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line="218" w:lineRule="exact"/>
        <w:ind w:left="259"/>
      </w:pPr>
      <w:r>
        <w:rPr/>
        <w:t>illustrated</w:t>
      </w:r>
      <w:r>
        <w:rPr>
          <w:spacing w:val="58"/>
        </w:rPr>
        <w:t> </w:t>
      </w:r>
      <w:r>
        <w:rPr/>
        <w:t>in</w:t>
      </w:r>
      <w:r>
        <w:rPr>
          <w:spacing w:val="58"/>
        </w:rPr>
        <w:t> </w:t>
      </w:r>
      <w:r>
        <w:rPr/>
        <w:t>Fig.</w:t>
      </w:r>
      <w:r>
        <w:rPr>
          <w:spacing w:val="58"/>
        </w:rPr>
        <w:t> </w:t>
      </w:r>
      <w:r>
        <w:rPr/>
        <w:t>3.</w:t>
      </w:r>
      <w:r>
        <w:rPr>
          <w:spacing w:val="58"/>
        </w:rPr>
        <w:t> </w:t>
      </w:r>
      <w:r>
        <w:rPr/>
        <w:t>Each</w:t>
      </w:r>
      <w:r>
        <w:rPr>
          <w:spacing w:val="58"/>
        </w:rPr>
        <w:t> </w:t>
      </w:r>
      <w:r>
        <w:rPr/>
        <w:t>stage</w:t>
      </w:r>
      <w:r>
        <w:rPr>
          <w:spacing w:val="59"/>
        </w:rPr>
        <w:t> </w:t>
      </w:r>
      <w:r>
        <w:rPr/>
        <w:t>is</w:t>
      </w:r>
      <w:r>
        <w:rPr>
          <w:spacing w:val="58"/>
        </w:rPr>
        <w:t> </w:t>
      </w:r>
      <w:r>
        <w:rPr/>
        <w:t>designed</w:t>
      </w:r>
      <w:r>
        <w:rPr>
          <w:spacing w:val="58"/>
        </w:rPr>
        <w:t> </w:t>
      </w:r>
      <w:r>
        <w:rPr/>
        <w:t>to</w:t>
      </w:r>
      <w:r>
        <w:rPr>
          <w:spacing w:val="58"/>
        </w:rPr>
        <w:t> </w:t>
      </w:r>
      <w:r>
        <w:rPr/>
        <w:t>capture</w:t>
      </w:r>
      <w:r>
        <w:rPr>
          <w:spacing w:val="58"/>
        </w:rPr>
        <w:t> </w:t>
      </w:r>
      <w:r>
        <w:rPr>
          <w:spacing w:val="-10"/>
        </w:rPr>
        <w:t>a</w:t>
      </w:r>
    </w:p>
    <w:p>
      <w:pPr>
        <w:pStyle w:val="BodyText"/>
        <w:spacing w:line="141" w:lineRule="exact" w:before="76"/>
        <w:ind w:left="199"/>
      </w:pPr>
      <w:r>
        <w:rPr/>
        <w:br w:type="column"/>
      </w:r>
      <w:r>
        <w:rPr>
          <w:w w:val="105"/>
        </w:rPr>
        <w:t>where</w:t>
      </w:r>
      <w:r>
        <w:rPr>
          <w:spacing w:val="10"/>
          <w:w w:val="115"/>
        </w:rPr>
        <w:t> </w:t>
      </w:r>
      <w:r>
        <w:rPr>
          <w:rFonts w:ascii="Calibri"/>
          <w:i/>
          <w:w w:val="115"/>
        </w:rPr>
        <w:t>x</w:t>
      </w:r>
      <w:r>
        <w:rPr>
          <w:rFonts w:ascii="Calibri"/>
          <w:w w:val="115"/>
          <w:vertAlign w:val="superscript"/>
        </w:rPr>
        <w:t>(</w:t>
      </w:r>
      <w:r>
        <w:rPr>
          <w:rFonts w:ascii="Calibri"/>
          <w:i/>
          <w:w w:val="115"/>
          <w:vertAlign w:val="superscript"/>
        </w:rPr>
        <w:t>k</w:t>
      </w:r>
      <w:r>
        <w:rPr>
          <w:rFonts w:ascii="Calibri"/>
          <w:w w:val="115"/>
          <w:vertAlign w:val="superscript"/>
        </w:rPr>
        <w:t>)</w:t>
      </w:r>
      <w:r>
        <w:rPr>
          <w:rFonts w:ascii="Calibri"/>
          <w:w w:val="115"/>
          <w:vertAlign w:val="baseline"/>
        </w:rPr>
        <w:t>(</w:t>
      </w:r>
      <w:r>
        <w:rPr>
          <w:rFonts w:ascii="Calibri"/>
          <w:i/>
          <w:w w:val="115"/>
          <w:vertAlign w:val="baseline"/>
        </w:rPr>
        <w:t>t</w:t>
      </w:r>
      <w:r>
        <w:rPr>
          <w:rFonts w:ascii="Calibri"/>
          <w:w w:val="115"/>
          <w:vertAlign w:val="baseline"/>
        </w:rPr>
        <w:t>)</w:t>
      </w:r>
      <w:r>
        <w:rPr>
          <w:rFonts w:ascii="Calibri"/>
          <w:spacing w:val="16"/>
          <w:w w:val="11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15"/>
          <w:w w:val="105"/>
          <w:vertAlign w:val="baseline"/>
        </w:rPr>
        <w:t> </w:t>
      </w:r>
      <w:r>
        <w:rPr>
          <w:rFonts w:ascii="Calibri"/>
          <w:i/>
          <w:w w:val="105"/>
          <w:vertAlign w:val="baseline"/>
        </w:rPr>
        <w:t>k</w:t>
      </w:r>
      <w:r>
        <w:rPr>
          <w:w w:val="105"/>
          <w:vertAlign w:val="baseline"/>
        </w:rPr>
        <w:t>-th</w:t>
      </w:r>
      <w:r>
        <w:rPr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measurement</w:t>
      </w:r>
      <w:r>
        <w:rPr>
          <w:spacing w:val="15"/>
          <w:w w:val="105"/>
          <w:vertAlign w:val="baseline"/>
        </w:rPr>
        <w:t> </w:t>
      </w:r>
      <w:r>
        <w:rPr>
          <w:w w:val="105"/>
          <w:vertAlign w:val="baseline"/>
        </w:rPr>
        <w:t>dimension</w:t>
      </w:r>
      <w:r>
        <w:rPr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most</w:t>
      </w:r>
      <w:r>
        <w:rPr>
          <w:spacing w:val="15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sen-</w:t>
      </w:r>
    </w:p>
    <w:p>
      <w:pPr>
        <w:pStyle w:val="BodyText"/>
        <w:spacing w:after="0" w:line="141" w:lineRule="exact"/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tabs>
          <w:tab w:pos="6201" w:val="left" w:leader="none"/>
        </w:tabs>
        <w:spacing w:line="116" w:lineRule="exact" w:before="12"/>
        <w:ind w:left="259"/>
        <w:rPr>
          <w:rFonts w:ascii="Calibri"/>
          <w:i/>
        </w:rPr>
      </w:pPr>
      <w:r>
        <w:rPr/>
        <w:t>different</w:t>
      </w:r>
      <w:r>
        <w:rPr>
          <w:spacing w:val="-11"/>
        </w:rPr>
        <w:t> </w:t>
      </w:r>
      <w:r>
        <w:rPr/>
        <w:t>class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anomalous</w:t>
      </w:r>
      <w:r>
        <w:rPr>
          <w:spacing w:val="-11"/>
        </w:rPr>
        <w:t> </w:t>
      </w:r>
      <w:r>
        <w:rPr/>
        <w:t>behaviour,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stages</w:t>
      </w:r>
      <w:r>
        <w:rPr>
          <w:spacing w:val="-10"/>
        </w:rPr>
        <w:t> </w:t>
      </w:r>
      <w:r>
        <w:rPr/>
        <w:t>are</w:t>
      </w:r>
      <w:r>
        <w:rPr>
          <w:spacing w:val="-11"/>
        </w:rPr>
        <w:t> </w:t>
      </w:r>
      <w:r>
        <w:rPr>
          <w:spacing w:val="-4"/>
        </w:rPr>
        <w:t>com-</w:t>
      </w:r>
      <w:r>
        <w:rPr/>
        <w:tab/>
      </w:r>
      <w:r>
        <w:rPr>
          <w:rFonts w:ascii="Calibri"/>
          <w:i/>
          <w:spacing w:val="-10"/>
          <w:w w:val="160"/>
          <w:vertAlign w:val="superscript"/>
        </w:rPr>
        <w:t>i</w:t>
      </w:r>
    </w:p>
    <w:p>
      <w:pPr>
        <w:spacing w:line="53" w:lineRule="exact" w:before="76"/>
        <w:ind w:left="259" w:right="0" w:firstLine="0"/>
        <w:jc w:val="left"/>
        <w:rPr>
          <w:rFonts w:ascii="Calibri"/>
          <w:sz w:val="14"/>
        </w:rPr>
      </w:pPr>
      <w:r>
        <w:rPr/>
        <w:br w:type="column"/>
      </w:r>
      <w:r>
        <w:rPr>
          <w:rFonts w:ascii="Calibri"/>
          <w:spacing w:val="-5"/>
          <w:w w:val="140"/>
          <w:sz w:val="14"/>
        </w:rPr>
        <w:t>(</w:t>
      </w:r>
      <w:r>
        <w:rPr>
          <w:rFonts w:ascii="Calibri"/>
          <w:i/>
          <w:spacing w:val="-5"/>
          <w:w w:val="140"/>
          <w:sz w:val="14"/>
        </w:rPr>
        <w:t>k</w:t>
      </w:r>
      <w:r>
        <w:rPr>
          <w:rFonts w:ascii="Calibri"/>
          <w:spacing w:val="-5"/>
          <w:w w:val="140"/>
          <w:sz w:val="14"/>
        </w:rPr>
        <w:t>)</w:t>
      </w:r>
    </w:p>
    <w:p>
      <w:pPr>
        <w:spacing w:after="0" w:line="53" w:lineRule="exact"/>
        <w:jc w:val="left"/>
        <w:rPr>
          <w:rFonts w:ascii="Calibri"/>
          <w:sz w:val="14"/>
        </w:rPr>
        <w:sectPr>
          <w:type w:val="continuous"/>
          <w:pgSz w:w="12240" w:h="15840"/>
          <w:pgMar w:top="900" w:bottom="280" w:left="720" w:right="720"/>
          <w:cols w:num="2" w:equalWidth="0">
            <w:col w:w="6298" w:space="1273"/>
            <w:col w:w="3229"/>
          </w:cols>
        </w:sectPr>
      </w:pPr>
    </w:p>
    <w:p>
      <w:pPr>
        <w:pStyle w:val="BodyText"/>
        <w:spacing w:line="249" w:lineRule="auto" w:before="127"/>
        <w:ind w:left="259"/>
      </w:pPr>
      <w:r>
        <w:rPr/>
        <w:t>posed</w:t>
      </w:r>
      <w:r>
        <w:rPr>
          <w:spacing w:val="-3"/>
        </w:rPr>
        <w:t> </w:t>
      </w:r>
      <w:r>
        <w:rPr/>
        <w:t>such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observations</w:t>
      </w:r>
      <w:r>
        <w:rPr>
          <w:spacing w:val="-3"/>
        </w:rPr>
        <w:t> </w:t>
      </w:r>
      <w:r>
        <w:rPr/>
        <w:t>escaping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layer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frequently captured by another.</w:t>
      </w:r>
    </w:p>
    <w:p>
      <w:pPr>
        <w:pStyle w:val="ListParagraph"/>
        <w:numPr>
          <w:ilvl w:val="0"/>
          <w:numId w:val="5"/>
        </w:numPr>
        <w:tabs>
          <w:tab w:pos="264" w:val="left" w:leader="none"/>
        </w:tabs>
        <w:spacing w:line="218" w:lineRule="exact" w:before="12" w:after="0"/>
        <w:ind w:left="264" w:right="0" w:hanging="264"/>
        <w:jc w:val="right"/>
        <w:rPr>
          <w:sz w:val="20"/>
        </w:rPr>
      </w:pPr>
      <w:r>
        <w:rPr>
          <w:i/>
          <w:sz w:val="20"/>
        </w:rPr>
        <w:t>Layer</w:t>
      </w:r>
      <w:r>
        <w:rPr>
          <w:i/>
          <w:spacing w:val="20"/>
          <w:sz w:val="20"/>
        </w:rPr>
        <w:t> </w:t>
      </w:r>
      <w:r>
        <w:rPr>
          <w:i/>
          <w:sz w:val="20"/>
        </w:rPr>
        <w:t>A:</w:t>
      </w:r>
      <w:r>
        <w:rPr>
          <w:i/>
          <w:spacing w:val="20"/>
          <w:sz w:val="20"/>
        </w:rPr>
        <w:t> </w:t>
      </w:r>
      <w:r>
        <w:rPr>
          <w:i/>
          <w:sz w:val="20"/>
        </w:rPr>
        <w:t>Statistical</w:t>
      </w:r>
      <w:r>
        <w:rPr>
          <w:i/>
          <w:spacing w:val="21"/>
          <w:sz w:val="20"/>
        </w:rPr>
        <w:t> </w:t>
      </w:r>
      <w:r>
        <w:rPr>
          <w:i/>
          <w:sz w:val="20"/>
        </w:rPr>
        <w:t>Deviation</w:t>
      </w:r>
      <w:r>
        <w:rPr>
          <w:i/>
          <w:spacing w:val="20"/>
          <w:sz w:val="20"/>
        </w:rPr>
        <w:t> </w:t>
      </w:r>
      <w:r>
        <w:rPr>
          <w:i/>
          <w:sz w:val="20"/>
        </w:rPr>
        <w:t>Scoring:</w:t>
      </w:r>
      <w:r>
        <w:rPr>
          <w:i/>
          <w:spacing w:val="51"/>
          <w:sz w:val="20"/>
        </w:rPr>
        <w:t> </w:t>
      </w:r>
      <w:r>
        <w:rPr>
          <w:sz w:val="20"/>
        </w:rPr>
        <w:t>For</w:t>
      </w:r>
      <w:r>
        <w:rPr>
          <w:spacing w:val="20"/>
          <w:sz w:val="20"/>
        </w:rPr>
        <w:t> </w:t>
      </w:r>
      <w:r>
        <w:rPr>
          <w:sz w:val="20"/>
        </w:rPr>
        <w:t>each</w:t>
      </w:r>
      <w:r>
        <w:rPr>
          <w:spacing w:val="21"/>
          <w:sz w:val="20"/>
        </w:rPr>
        <w:t> </w:t>
      </w:r>
      <w:r>
        <w:rPr>
          <w:spacing w:val="-2"/>
          <w:sz w:val="20"/>
        </w:rPr>
        <w:t>agent</w:t>
      </w:r>
    </w:p>
    <w:p>
      <w:pPr>
        <w:pStyle w:val="BodyText"/>
        <w:spacing w:line="271" w:lineRule="exact"/>
        <w:jc w:val="right"/>
      </w:pPr>
      <w:r>
        <w:rPr>
          <w:rFonts w:ascii="Calibri" w:hAnsi="Calibri"/>
          <w:i/>
          <w:w w:val="125"/>
        </w:rPr>
        <w:t>i</w:t>
      </w:r>
      <w:r>
        <w:rPr>
          <w:rFonts w:ascii="Calibri" w:hAnsi="Calibri"/>
          <w:i/>
          <w:spacing w:val="42"/>
          <w:w w:val="125"/>
        </w:rPr>
        <w:t> </w:t>
      </w:r>
      <w:r>
        <w:rPr>
          <w:w w:val="105"/>
        </w:rPr>
        <w:t>at</w:t>
      </w:r>
      <w:r>
        <w:rPr>
          <w:spacing w:val="47"/>
          <w:w w:val="105"/>
        </w:rPr>
        <w:t> </w:t>
      </w:r>
      <w:r>
        <w:rPr>
          <w:w w:val="105"/>
        </w:rPr>
        <w:t>time</w:t>
      </w:r>
      <w:r>
        <w:rPr>
          <w:spacing w:val="47"/>
          <w:w w:val="105"/>
        </w:rPr>
        <w:t> </w:t>
      </w:r>
      <w:r>
        <w:rPr>
          <w:w w:val="105"/>
        </w:rPr>
        <w:t>step</w:t>
      </w:r>
      <w:r>
        <w:rPr>
          <w:spacing w:val="46"/>
          <w:w w:val="105"/>
        </w:rPr>
        <w:t> </w:t>
      </w:r>
      <w:r>
        <w:rPr>
          <w:rFonts w:ascii="Calibri" w:hAnsi="Calibri"/>
          <w:i/>
          <w:w w:val="105"/>
        </w:rPr>
        <w:t>t</w:t>
      </w:r>
      <w:r>
        <w:rPr>
          <w:w w:val="105"/>
        </w:rPr>
        <w:t>,</w:t>
      </w:r>
      <w:r>
        <w:rPr>
          <w:spacing w:val="47"/>
          <w:w w:val="105"/>
        </w:rPr>
        <w:t> </w:t>
      </w:r>
      <w:r>
        <w:rPr>
          <w:w w:val="105"/>
        </w:rPr>
        <w:t>the</w:t>
      </w:r>
      <w:r>
        <w:rPr>
          <w:spacing w:val="46"/>
          <w:w w:val="105"/>
        </w:rPr>
        <w:t> </w:t>
      </w:r>
      <w:r>
        <w:rPr>
          <w:w w:val="105"/>
        </w:rPr>
        <w:t>measurement</w:t>
      </w:r>
      <w:r>
        <w:rPr>
          <w:spacing w:val="47"/>
          <w:w w:val="105"/>
        </w:rPr>
        <w:t> </w:t>
      </w:r>
      <w:r>
        <w:rPr>
          <w:w w:val="105"/>
        </w:rPr>
        <w:t>vector</w:t>
      </w:r>
      <w:r>
        <w:rPr>
          <w:spacing w:val="37"/>
          <w:w w:val="125"/>
        </w:rPr>
        <w:t> </w:t>
      </w:r>
      <w:r>
        <w:rPr>
          <w:rFonts w:ascii="Calibri" w:hAnsi="Calibri"/>
          <w:b/>
          <w:w w:val="125"/>
        </w:rPr>
        <w:t>x</w:t>
      </w:r>
      <w:r>
        <w:rPr>
          <w:rFonts w:ascii="Calibri" w:hAnsi="Calibri"/>
          <w:i/>
          <w:w w:val="125"/>
          <w:vertAlign w:val="subscript"/>
        </w:rPr>
        <w:t>i</w:t>
      </w:r>
      <w:r>
        <w:rPr>
          <w:rFonts w:ascii="Calibri" w:hAnsi="Calibri"/>
          <w:w w:val="125"/>
          <w:vertAlign w:val="baseline"/>
        </w:rPr>
        <w:t>(</w:t>
      </w:r>
      <w:r>
        <w:rPr>
          <w:rFonts w:ascii="Calibri" w:hAnsi="Calibri"/>
          <w:i/>
          <w:w w:val="125"/>
          <w:vertAlign w:val="baseline"/>
        </w:rPr>
        <w:t>t</w:t>
      </w:r>
      <w:r>
        <w:rPr>
          <w:rFonts w:ascii="Calibri" w:hAnsi="Calibri"/>
          <w:w w:val="125"/>
          <w:vertAlign w:val="baseline"/>
        </w:rPr>
        <w:t>)</w:t>
      </w:r>
      <w:r>
        <w:rPr>
          <w:rFonts w:ascii="Calibri" w:hAnsi="Calibri"/>
          <w:spacing w:val="62"/>
          <w:w w:val="12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∈</w:t>
      </w:r>
      <w:r>
        <w:rPr>
          <w:rFonts w:ascii="Lucida Sans Unicode" w:hAnsi="Lucida Sans Unicode"/>
          <w:spacing w:val="53"/>
          <w:w w:val="105"/>
          <w:vertAlign w:val="baseline"/>
        </w:rPr>
        <w:t> </w:t>
      </w:r>
      <w:r>
        <w:rPr>
          <w:rFonts w:ascii="Arial MT" w:hAnsi="Arial MT"/>
          <w:w w:val="105"/>
          <w:vertAlign w:val="baseline"/>
        </w:rPr>
        <w:t>R</w:t>
      </w:r>
      <w:r>
        <w:rPr>
          <w:rFonts w:ascii="Calibri" w:hAnsi="Calibri"/>
          <w:i/>
          <w:w w:val="105"/>
          <w:vertAlign w:val="superscript"/>
        </w:rPr>
        <w:t>d</w:t>
      </w:r>
      <w:r>
        <w:rPr>
          <w:rFonts w:ascii="Calibri" w:hAnsi="Calibri"/>
          <w:i/>
          <w:spacing w:val="60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is</w:t>
      </w:r>
    </w:p>
    <w:p>
      <w:pPr>
        <w:pStyle w:val="BodyText"/>
        <w:spacing w:line="109" w:lineRule="exact"/>
        <w:ind w:left="259"/>
      </w:pPr>
      <w:r>
        <w:rPr/>
        <w:t>compared</w:t>
      </w:r>
      <w:r>
        <w:rPr>
          <w:spacing w:val="38"/>
        </w:rPr>
        <w:t> </w:t>
      </w:r>
      <w:r>
        <w:rPr/>
        <w:t>against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agent’s</w:t>
      </w:r>
      <w:r>
        <w:rPr>
          <w:spacing w:val="38"/>
        </w:rPr>
        <w:t> </w:t>
      </w:r>
      <w:r>
        <w:rPr/>
        <w:t>historical</w:t>
      </w:r>
      <w:r>
        <w:rPr>
          <w:spacing w:val="39"/>
        </w:rPr>
        <w:t> </w:t>
      </w:r>
      <w:r>
        <w:rPr/>
        <w:t>baseline</w:t>
      </w:r>
      <w:r>
        <w:rPr>
          <w:spacing w:val="38"/>
        </w:rPr>
        <w:t> </w:t>
      </w:r>
      <w:r>
        <w:rPr>
          <w:rFonts w:ascii="Calibri" w:hAnsi="Calibri"/>
        </w:rPr>
        <w:t>(</w:t>
      </w:r>
      <w:r>
        <w:rPr>
          <w:rFonts w:ascii="Verdana" w:hAnsi="Verdana"/>
          <w:b/>
          <w:i/>
        </w:rPr>
        <w:t>µ</w:t>
      </w:r>
      <w:r>
        <w:rPr>
          <w:rFonts w:ascii="Verdana" w:hAnsi="Verdana"/>
          <w:b/>
          <w:i/>
          <w:spacing w:val="8"/>
        </w:rPr>
        <w:t> 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7"/>
        </w:rPr>
        <w:t> </w:t>
      </w:r>
      <w:r>
        <w:rPr>
          <w:rFonts w:ascii="Calibri" w:hAnsi="Calibri"/>
          <w:b/>
        </w:rPr>
        <w:t>Σ</w:t>
      </w:r>
      <w:r>
        <w:rPr>
          <w:rFonts w:ascii="Calibri" w:hAnsi="Calibri"/>
          <w:i/>
          <w:vertAlign w:val="subscript"/>
        </w:rPr>
        <w:t>i</w:t>
      </w:r>
      <w:r>
        <w:rPr>
          <w:rFonts w:ascii="Calibri" w:hAnsi="Calibri"/>
          <w:vertAlign w:val="baseline"/>
        </w:rPr>
        <w:t>)</w:t>
      </w:r>
      <w:r>
        <w:rPr>
          <w:rFonts w:ascii="Calibri" w:hAnsi="Calibri"/>
          <w:spacing w:val="43"/>
          <w:vertAlign w:val="baseline"/>
        </w:rPr>
        <w:t> </w:t>
      </w:r>
      <w:r>
        <w:rPr>
          <w:spacing w:val="-5"/>
          <w:vertAlign w:val="baseline"/>
        </w:rPr>
        <w:t>via</w:t>
      </w:r>
    </w:p>
    <w:p>
      <w:pPr>
        <w:pStyle w:val="BodyText"/>
        <w:spacing w:line="220" w:lineRule="auto" w:before="9"/>
        <w:ind w:left="198" w:right="257"/>
        <w:jc w:val="both"/>
      </w:pPr>
      <w:r>
        <w:rPr/>
        <w:br w:type="column"/>
      </w:r>
      <w:r>
        <w:rPr/>
        <w:t>sitive to FDI perturbation, </w:t>
      </w:r>
      <w:r>
        <w:rPr>
          <w:rFonts w:ascii="Calibri" w:hAnsi="Calibri"/>
          <w:i/>
        </w:rPr>
        <w:t>µ</w:t>
      </w:r>
      <w:r>
        <w:rPr>
          <w:rFonts w:ascii="Calibri" w:hAnsi="Calibri"/>
          <w:vertAlign w:val="subscript"/>
        </w:rPr>
        <w:t>0</w:t>
      </w:r>
      <w:r>
        <w:rPr>
          <w:rFonts w:ascii="Calibri" w:hAnsi="Calibri"/>
          <w:spacing w:val="80"/>
          <w:vertAlign w:val="baseline"/>
        </w:rPr>
        <w:t> </w:t>
      </w:r>
      <w:r>
        <w:rPr>
          <w:vertAlign w:val="baseline"/>
        </w:rPr>
        <w:t>is its calibrated normal mean, and</w:t>
      </w:r>
      <w:r>
        <w:rPr>
          <w:spacing w:val="-6"/>
          <w:vertAlign w:val="baseline"/>
        </w:rPr>
        <w:t> </w:t>
      </w:r>
      <w:r>
        <w:rPr>
          <w:rFonts w:ascii="Calibri" w:hAnsi="Calibri"/>
          <w:i/>
          <w:vertAlign w:val="baseline"/>
        </w:rPr>
        <w:t>k</w:t>
      </w:r>
      <w:r>
        <w:rPr>
          <w:vertAlign w:val="subscript"/>
        </w:rPr>
        <w:t>ref</w:t>
      </w:r>
      <w:r>
        <w:rPr>
          <w:vertAlign w:val="baseline"/>
        </w:rPr>
        <w:t> is</w:t>
      </w:r>
      <w:r>
        <w:rPr>
          <w:spacing w:val="-6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allowance</w:t>
      </w:r>
      <w:r>
        <w:rPr>
          <w:spacing w:val="-6"/>
          <w:vertAlign w:val="baseline"/>
        </w:rPr>
        <w:t> </w:t>
      </w:r>
      <w:r>
        <w:rPr>
          <w:vertAlign w:val="baseline"/>
        </w:rPr>
        <w:t>parameter.</w:t>
      </w:r>
      <w:r>
        <w:rPr>
          <w:spacing w:val="-6"/>
          <w:vertAlign w:val="baseline"/>
        </w:rPr>
        <w:t> </w:t>
      </w:r>
      <w:r>
        <w:rPr>
          <w:vertAlign w:val="baseline"/>
        </w:rPr>
        <w:t>An</w:t>
      </w:r>
      <w:r>
        <w:rPr>
          <w:spacing w:val="-5"/>
          <w:vertAlign w:val="baseline"/>
        </w:rPr>
        <w:t> </w:t>
      </w:r>
      <w:r>
        <w:rPr>
          <w:vertAlign w:val="baseline"/>
        </w:rPr>
        <w:t>FDI</w:t>
      </w:r>
      <w:r>
        <w:rPr>
          <w:spacing w:val="-6"/>
          <w:vertAlign w:val="baseline"/>
        </w:rPr>
        <w:t> </w:t>
      </w:r>
      <w:r>
        <w:rPr>
          <w:vertAlign w:val="baseline"/>
        </w:rPr>
        <w:t>flag</w:t>
      </w:r>
      <w:r>
        <w:rPr>
          <w:spacing w:val="-6"/>
          <w:vertAlign w:val="baseline"/>
        </w:rPr>
        <w:t> </w:t>
      </w:r>
      <w:r>
        <w:rPr>
          <w:vertAlign w:val="baseline"/>
        </w:rPr>
        <w:t>is</w:t>
      </w:r>
      <w:r>
        <w:rPr>
          <w:spacing w:val="-5"/>
          <w:vertAlign w:val="baseline"/>
        </w:rPr>
        <w:t> </w:t>
      </w:r>
      <w:r>
        <w:rPr>
          <w:vertAlign w:val="baseline"/>
        </w:rPr>
        <w:t>raised</w:t>
      </w:r>
      <w:r>
        <w:rPr>
          <w:spacing w:val="-5"/>
          <w:vertAlign w:val="baseline"/>
        </w:rPr>
        <w:t> </w:t>
      </w:r>
      <w:r>
        <w:rPr>
          <w:vertAlign w:val="baseline"/>
        </w:rPr>
        <w:t>when </w:t>
      </w:r>
      <w:r>
        <w:rPr>
          <w:rFonts w:ascii="Calibri" w:hAnsi="Calibri"/>
          <w:i/>
          <w:w w:val="115"/>
          <w:vertAlign w:val="baseline"/>
        </w:rPr>
        <w:t>C</w:t>
      </w:r>
      <w:r>
        <w:rPr>
          <w:rFonts w:ascii="Calibri" w:hAnsi="Calibri"/>
          <w:w w:val="115"/>
          <w:vertAlign w:val="superscript"/>
        </w:rPr>
        <w:t>+</w:t>
      </w:r>
      <w:r>
        <w:rPr>
          <w:rFonts w:ascii="Calibri" w:hAnsi="Calibri"/>
          <w:w w:val="115"/>
          <w:vertAlign w:val="baseline"/>
        </w:rPr>
        <w:t>(</w:t>
      </w:r>
      <w:r>
        <w:rPr>
          <w:rFonts w:ascii="Calibri" w:hAnsi="Calibri"/>
          <w:i/>
          <w:w w:val="115"/>
          <w:vertAlign w:val="baseline"/>
        </w:rPr>
        <w:t>t</w:t>
      </w:r>
      <w:r>
        <w:rPr>
          <w:rFonts w:ascii="Calibri" w:hAnsi="Calibri"/>
          <w:w w:val="115"/>
          <w:vertAlign w:val="baseline"/>
        </w:rPr>
        <w:t>) </w:t>
      </w:r>
      <w:r>
        <w:rPr>
          <w:rFonts w:ascii="Lucida Sans Unicode" w:hAnsi="Lucida Sans Unicode"/>
          <w:vertAlign w:val="baseline"/>
        </w:rPr>
        <w:t>≥ </w:t>
      </w:r>
      <w:r>
        <w:rPr>
          <w:rFonts w:ascii="Calibri" w:hAnsi="Calibri"/>
          <w:i/>
          <w:vertAlign w:val="baseline"/>
        </w:rPr>
        <w:t>h</w:t>
      </w:r>
      <w:r>
        <w:rPr>
          <w:vertAlign w:val="subscript"/>
        </w:rPr>
        <w:t>FDI</w:t>
      </w:r>
      <w:r>
        <w:rPr>
          <w:vertAlign w:val="baseline"/>
        </w:rPr>
        <w:t>.</w:t>
      </w:r>
    </w:p>
    <w:p>
      <w:pPr>
        <w:spacing w:line="244" w:lineRule="auto" w:before="0"/>
        <w:ind w:left="198" w:right="257" w:firstLine="199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92224">
                <wp:simplePos x="0" y="0"/>
                <wp:positionH relativeFrom="page">
                  <wp:posOffset>4052544</wp:posOffset>
                </wp:positionH>
                <wp:positionV relativeFrom="paragraph">
                  <wp:posOffset>-81146</wp:posOffset>
                </wp:positionV>
                <wp:extent cx="36195" cy="8890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361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75"/>
                                <w:sz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9.097992pt;margin-top:-6.389459pt;width:2.85pt;height:7pt;mso-position-horizontal-relative:page;mso-position-vertical-relative:paragraph;z-index:-16224256" type="#_x0000_t202" id="docshape7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75"/>
                          <w:sz w:val="14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0"/>
        </w:rPr>
        <w:t>Rule-Based Detector (DoS). </w:t>
      </w:r>
      <w:r>
        <w:rPr>
          <w:sz w:val="20"/>
        </w:rPr>
        <w:t>The DoS detector monitors </w:t>
      </w:r>
      <w:r>
        <w:rPr>
          <w:sz w:val="20"/>
        </w:rPr>
        <w:t>a sliding</w:t>
      </w:r>
      <w:r>
        <w:rPr>
          <w:spacing w:val="32"/>
          <w:sz w:val="20"/>
        </w:rPr>
        <w:t> </w:t>
      </w:r>
      <w:r>
        <w:rPr>
          <w:sz w:val="20"/>
        </w:rPr>
        <w:t>window</w:t>
      </w:r>
      <w:r>
        <w:rPr>
          <w:spacing w:val="33"/>
          <w:sz w:val="20"/>
        </w:rPr>
        <w:t> </w:t>
      </w:r>
      <w:r>
        <w:rPr>
          <w:sz w:val="20"/>
        </w:rPr>
        <w:t>of</w:t>
      </w:r>
      <w:r>
        <w:rPr>
          <w:spacing w:val="32"/>
          <w:sz w:val="20"/>
        </w:rPr>
        <w:t> </w:t>
      </w:r>
      <w:r>
        <w:rPr>
          <w:sz w:val="20"/>
        </w:rPr>
        <w:t>length</w:t>
      </w:r>
      <w:r>
        <w:rPr>
          <w:spacing w:val="33"/>
          <w:sz w:val="20"/>
        </w:rPr>
        <w:t> </w:t>
      </w:r>
      <w:r>
        <w:rPr>
          <w:rFonts w:ascii="Calibri" w:hAnsi="Calibri"/>
          <w:i/>
          <w:sz w:val="20"/>
        </w:rPr>
        <w:t>τ</w:t>
      </w:r>
      <w:r>
        <w:rPr>
          <w:rFonts w:ascii="Calibri" w:hAnsi="Calibri"/>
          <w:i/>
          <w:spacing w:val="58"/>
          <w:sz w:val="20"/>
        </w:rPr>
        <w:t> </w:t>
      </w:r>
      <w:r>
        <w:rPr>
          <w:sz w:val="20"/>
        </w:rPr>
        <w:t>for</w:t>
      </w:r>
      <w:r>
        <w:rPr>
          <w:spacing w:val="33"/>
          <w:sz w:val="20"/>
        </w:rPr>
        <w:t> </w:t>
      </w:r>
      <w:r>
        <w:rPr>
          <w:sz w:val="20"/>
        </w:rPr>
        <w:t>communication</w:t>
      </w:r>
      <w:r>
        <w:rPr>
          <w:spacing w:val="33"/>
          <w:sz w:val="20"/>
        </w:rPr>
        <w:t> </w:t>
      </w:r>
      <w:r>
        <w:rPr>
          <w:sz w:val="20"/>
        </w:rPr>
        <w:t>failure</w:t>
      </w:r>
      <w:r>
        <w:rPr>
          <w:spacing w:val="32"/>
          <w:sz w:val="20"/>
        </w:rPr>
        <w:t> </w:t>
      </w:r>
      <w:r>
        <w:rPr>
          <w:spacing w:val="-2"/>
          <w:sz w:val="20"/>
        </w:rPr>
        <w:t>indi-</w:t>
      </w:r>
    </w:p>
    <w:p>
      <w:pPr>
        <w:spacing w:after="0" w:line="244" w:lineRule="auto"/>
        <w:jc w:val="left"/>
        <w:rPr>
          <w:sz w:val="20"/>
        </w:rPr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line="229" w:lineRule="exact" w:before="111"/>
        <w:ind w:left="259"/>
      </w:pPr>
      <w:r>
        <w:rPr/>
        <w:t>the</w:t>
      </w:r>
      <w:r>
        <w:rPr>
          <w:spacing w:val="12"/>
        </w:rPr>
        <w:t> </w:t>
      </w:r>
      <w:r>
        <w:rPr/>
        <w:t>Mahalanobis</w:t>
      </w:r>
      <w:r>
        <w:rPr>
          <w:spacing w:val="13"/>
        </w:rPr>
        <w:t> </w:t>
      </w:r>
      <w:r>
        <w:rPr>
          <w:spacing w:val="-2"/>
        </w:rPr>
        <w:t>distance:</w:t>
      </w:r>
    </w:p>
    <w:p>
      <w:pPr>
        <w:pStyle w:val="BodyText"/>
        <w:tabs>
          <w:tab w:pos="1024" w:val="left" w:leader="none"/>
        </w:tabs>
        <w:spacing w:line="219" w:lineRule="exact"/>
        <w:ind w:right="257"/>
        <w:jc w:val="right"/>
      </w:pPr>
      <w:r>
        <w:rPr/>
        <w:br w:type="column"/>
      </w:r>
      <w:r>
        <w:rPr>
          <w:rFonts w:ascii="Calibri"/>
          <w:i/>
          <w:spacing w:val="-10"/>
          <w:w w:val="145"/>
          <w:position w:val="7"/>
          <w:sz w:val="14"/>
        </w:rPr>
        <w:t>i</w:t>
      </w:r>
      <w:r>
        <w:rPr>
          <w:rFonts w:ascii="Calibri"/>
          <w:i/>
          <w:position w:val="7"/>
          <w:sz w:val="14"/>
        </w:rPr>
        <w:tab/>
      </w:r>
      <w:r>
        <w:rPr/>
        <w:t>cators:</w:t>
      </w:r>
      <w:r>
        <w:rPr>
          <w:spacing w:val="20"/>
        </w:rPr>
        <w:t> </w:t>
      </w:r>
      <w:r>
        <w:rPr/>
        <w:t>missing</w:t>
      </w:r>
      <w:r>
        <w:rPr>
          <w:spacing w:val="20"/>
        </w:rPr>
        <w:t> </w:t>
      </w:r>
      <w:r>
        <w:rPr/>
        <w:t>telemetry,</w:t>
      </w:r>
      <w:r>
        <w:rPr>
          <w:spacing w:val="21"/>
        </w:rPr>
        <w:t> </w:t>
      </w:r>
      <w:r>
        <w:rPr/>
        <w:t>zero-padded</w:t>
      </w:r>
      <w:r>
        <w:rPr>
          <w:spacing w:val="20"/>
        </w:rPr>
        <w:t> </w:t>
      </w:r>
      <w:r>
        <w:rPr/>
        <w:t>frames,</w:t>
      </w:r>
      <w:r>
        <w:rPr>
          <w:spacing w:val="21"/>
        </w:rPr>
        <w:t> </w:t>
      </w:r>
      <w:r>
        <w:rPr/>
        <w:t>and</w:t>
      </w:r>
      <w:r>
        <w:rPr>
          <w:spacing w:val="20"/>
        </w:rPr>
        <w:t> </w:t>
      </w:r>
      <w:r>
        <w:rPr>
          <w:spacing w:val="-2"/>
        </w:rPr>
        <w:t>repeated-</w:t>
      </w:r>
    </w:p>
    <w:p>
      <w:pPr>
        <w:pStyle w:val="BodyText"/>
        <w:spacing w:line="111" w:lineRule="exact" w:before="9"/>
        <w:ind w:right="257"/>
        <w:jc w:val="right"/>
      </w:pPr>
      <w:r>
        <w:rPr/>
        <w:t>value</w:t>
      </w:r>
      <w:r>
        <w:rPr>
          <w:spacing w:val="6"/>
        </w:rPr>
        <w:t> </w:t>
      </w:r>
      <w:r>
        <w:rPr/>
        <w:t>sequences.</w:t>
      </w:r>
      <w:r>
        <w:rPr>
          <w:spacing w:val="7"/>
        </w:rPr>
        <w:t> </w:t>
      </w:r>
      <w:r>
        <w:rPr/>
        <w:t>A</w:t>
      </w:r>
      <w:r>
        <w:rPr>
          <w:spacing w:val="6"/>
        </w:rPr>
        <w:t> </w:t>
      </w:r>
      <w:r>
        <w:rPr/>
        <w:t>DoS</w:t>
      </w:r>
      <w:r>
        <w:rPr>
          <w:spacing w:val="6"/>
        </w:rPr>
        <w:t> </w:t>
      </w:r>
      <w:r>
        <w:rPr/>
        <w:t>flag</w:t>
      </w:r>
      <w:r>
        <w:rPr>
          <w:spacing w:val="6"/>
        </w:rPr>
        <w:t> </w:t>
      </w:r>
      <w:r>
        <w:rPr/>
        <w:t>is</w:t>
      </w:r>
      <w:r>
        <w:rPr>
          <w:spacing w:val="7"/>
        </w:rPr>
        <w:t> </w:t>
      </w:r>
      <w:r>
        <w:rPr/>
        <w:t>raised</w:t>
      </w:r>
      <w:r>
        <w:rPr>
          <w:spacing w:val="6"/>
        </w:rPr>
        <w:t> </w:t>
      </w:r>
      <w:r>
        <w:rPr/>
        <w:t>when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/>
        <w:t>count</w:t>
      </w:r>
      <w:r>
        <w:rPr>
          <w:spacing w:val="6"/>
        </w:rPr>
        <w:t> </w:t>
      </w:r>
      <w:r>
        <w:rPr/>
        <w:t>of</w:t>
      </w:r>
      <w:r>
        <w:rPr>
          <w:spacing w:val="6"/>
        </w:rPr>
        <w:t> </w:t>
      </w:r>
      <w:r>
        <w:rPr>
          <w:spacing w:val="-4"/>
        </w:rPr>
        <w:t>such</w:t>
      </w:r>
    </w:p>
    <w:p>
      <w:pPr>
        <w:pStyle w:val="BodyText"/>
        <w:spacing w:after="0" w:line="111" w:lineRule="exact"/>
        <w:jc w:val="right"/>
        <w:sectPr>
          <w:type w:val="continuous"/>
          <w:pgSz w:w="12240" w:h="15840"/>
          <w:pgMar w:top="900" w:bottom="280" w:left="720" w:right="720"/>
          <w:cols w:num="2" w:equalWidth="0">
            <w:col w:w="2420" w:space="1815"/>
            <w:col w:w="6565"/>
          </w:cols>
        </w:sectPr>
      </w:pPr>
    </w:p>
    <w:p>
      <w:pPr>
        <w:tabs>
          <w:tab w:pos="5048" w:val="left" w:leader="none"/>
        </w:tabs>
        <w:spacing w:line="240" w:lineRule="auto" w:before="0"/>
        <w:ind w:left="1034" w:right="0" w:firstLine="0"/>
        <w:jc w:val="center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91200">
                <wp:simplePos x="0" y="0"/>
                <wp:positionH relativeFrom="page">
                  <wp:posOffset>1661223</wp:posOffset>
                </wp:positionH>
                <wp:positionV relativeFrom="paragraph">
                  <wp:posOffset>92300</wp:posOffset>
                </wp:positionV>
                <wp:extent cx="1657350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657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7350" h="0">
                              <a:moveTo>
                                <a:pt x="0" y="0"/>
                              </a:moveTo>
                              <a:lnTo>
                                <a:pt x="165698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25280" from="130.804993pt,7.267725pt" to="261.275993pt,7.26772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94784">
                <wp:simplePos x="0" y="0"/>
                <wp:positionH relativeFrom="page">
                  <wp:posOffset>1179779</wp:posOffset>
                </wp:positionH>
                <wp:positionV relativeFrom="paragraph">
                  <wp:posOffset>214812</wp:posOffset>
                </wp:positionV>
                <wp:extent cx="36195" cy="8890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361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75"/>
                                <w:sz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896004pt;margin-top:16.914373pt;width:2.85pt;height:7pt;mso-position-horizontal-relative:page;mso-position-vertical-relative:paragraph;z-index:-16221696" type="#_x0000_t202" id="docshape8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75"/>
                          <w:sz w:val="14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95296">
                <wp:simplePos x="0" y="0"/>
                <wp:positionH relativeFrom="page">
                  <wp:posOffset>1796008</wp:posOffset>
                </wp:positionH>
                <wp:positionV relativeFrom="paragraph">
                  <wp:posOffset>214812</wp:posOffset>
                </wp:positionV>
                <wp:extent cx="36195" cy="8890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361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75"/>
                                <w:sz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417999pt;margin-top:16.914373pt;width:2.85pt;height:7pt;mso-position-horizontal-relative:page;mso-position-vertical-relative:paragraph;z-index:-16221184" type="#_x0000_t202" id="docshape9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75"/>
                          <w:sz w:val="14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95808">
                <wp:simplePos x="0" y="0"/>
                <wp:positionH relativeFrom="page">
                  <wp:posOffset>2226436</wp:posOffset>
                </wp:positionH>
                <wp:positionV relativeFrom="paragraph">
                  <wp:posOffset>226763</wp:posOffset>
                </wp:positionV>
                <wp:extent cx="36195" cy="8890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361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75"/>
                                <w:sz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5.309998pt;margin-top:17.855373pt;width:2.85pt;height:7pt;mso-position-horizontal-relative:page;mso-position-vertical-relative:paragraph;z-index:-16220672" type="#_x0000_t202" id="docshape10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75"/>
                          <w:sz w:val="14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96320">
                <wp:simplePos x="0" y="0"/>
                <wp:positionH relativeFrom="page">
                  <wp:posOffset>2517038</wp:posOffset>
                </wp:positionH>
                <wp:positionV relativeFrom="paragraph">
                  <wp:posOffset>229696</wp:posOffset>
                </wp:positionV>
                <wp:extent cx="36195" cy="8890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361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75"/>
                                <w:sz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.192001pt;margin-top:18.086374pt;width:2.85pt;height:7pt;mso-position-horizontal-relative:page;mso-position-vertical-relative:paragraph;z-index:-16220160" type="#_x0000_t202" id="docshape11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75"/>
                          <w:sz w:val="14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96832">
                <wp:simplePos x="0" y="0"/>
                <wp:positionH relativeFrom="page">
                  <wp:posOffset>2787662</wp:posOffset>
                </wp:positionH>
                <wp:positionV relativeFrom="paragraph">
                  <wp:posOffset>214812</wp:posOffset>
                </wp:positionV>
                <wp:extent cx="36195" cy="8890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361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75"/>
                                <w:sz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501007pt;margin-top:16.914373pt;width:2.85pt;height:7pt;mso-position-horizontal-relative:page;mso-position-vertical-relative:paragraph;z-index:-16219648" type="#_x0000_t202" id="docshape12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75"/>
                          <w:sz w:val="14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97344">
                <wp:simplePos x="0" y="0"/>
                <wp:positionH relativeFrom="page">
                  <wp:posOffset>3218091</wp:posOffset>
                </wp:positionH>
                <wp:positionV relativeFrom="paragraph">
                  <wp:posOffset>226763</wp:posOffset>
                </wp:positionV>
                <wp:extent cx="36195" cy="8890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361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75"/>
                                <w:sz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393005pt;margin-top:17.855373pt;width:2.85pt;height:7pt;mso-position-horizontal-relative:page;mso-position-vertical-relative:paragraph;z-index:-16219136" type="#_x0000_t202" id="docshape13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75"/>
                          <w:sz w:val="14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20"/>
          <w:sz w:val="20"/>
        </w:rPr>
        <w:t>d</w:t>
      </w:r>
      <w:r>
        <w:rPr>
          <w:rFonts w:ascii="Calibri" w:hAnsi="Calibri"/>
          <w:i/>
          <w:spacing w:val="9"/>
          <w:w w:val="120"/>
          <w:sz w:val="20"/>
        </w:rPr>
        <w:t> </w:t>
      </w:r>
      <w:r>
        <w:rPr>
          <w:rFonts w:ascii="Calibri" w:hAnsi="Calibri"/>
          <w:w w:val="120"/>
          <w:sz w:val="20"/>
        </w:rPr>
        <w:t>(</w:t>
      </w:r>
      <w:r>
        <w:rPr>
          <w:rFonts w:ascii="Calibri" w:hAnsi="Calibri"/>
          <w:i/>
          <w:w w:val="120"/>
          <w:sz w:val="20"/>
        </w:rPr>
        <w:t>t</w:t>
      </w:r>
      <w:r>
        <w:rPr>
          <w:rFonts w:ascii="Calibri" w:hAnsi="Calibri"/>
          <w:w w:val="120"/>
          <w:sz w:val="20"/>
        </w:rPr>
        <w:t>)</w:t>
      </w:r>
      <w:r>
        <w:rPr>
          <w:rFonts w:ascii="Calibri" w:hAnsi="Calibri"/>
          <w:spacing w:val="-6"/>
          <w:w w:val="135"/>
          <w:sz w:val="20"/>
        </w:rPr>
        <w:t> </w:t>
      </w:r>
      <w:r>
        <w:rPr>
          <w:rFonts w:ascii="Calibri" w:hAnsi="Calibri"/>
          <w:w w:val="135"/>
          <w:sz w:val="20"/>
        </w:rPr>
        <w:t>=</w:t>
      </w:r>
      <w:r>
        <w:rPr>
          <w:rFonts w:ascii="Calibri" w:hAnsi="Calibri"/>
          <w:spacing w:val="-7"/>
          <w:w w:val="135"/>
          <w:sz w:val="20"/>
        </w:rPr>
        <w:t> </w:t>
      </w:r>
      <w:r>
        <w:rPr>
          <w:rFonts w:ascii="Lucida Sans Unicode" w:hAnsi="Lucida Sans Unicode"/>
          <w:w w:val="135"/>
          <w:position w:val="26"/>
          <w:sz w:val="20"/>
        </w:rPr>
        <w:t>q</w:t>
      </w:r>
      <w:r>
        <w:rPr>
          <w:rFonts w:ascii="Lucida Sans Unicode" w:hAnsi="Lucida Sans Unicode"/>
          <w:spacing w:val="4"/>
          <w:w w:val="135"/>
          <w:position w:val="16"/>
          <w:sz w:val="20"/>
        </w:rPr>
        <w:t> </w:t>
      </w:r>
      <w:r>
        <w:rPr>
          <w:rFonts w:ascii="Calibri" w:hAnsi="Calibri"/>
          <w:b/>
          <w:w w:val="135"/>
          <w:sz w:val="20"/>
        </w:rPr>
        <w:t>x</w:t>
      </w:r>
      <w:r>
        <w:rPr>
          <w:rFonts w:ascii="Calibri" w:hAnsi="Calibri"/>
          <w:b/>
          <w:spacing w:val="4"/>
          <w:w w:val="135"/>
          <w:sz w:val="20"/>
        </w:rPr>
        <w:t> </w:t>
      </w:r>
      <w:r>
        <w:rPr>
          <w:rFonts w:ascii="Calibri" w:hAnsi="Calibri"/>
          <w:w w:val="120"/>
          <w:sz w:val="20"/>
        </w:rPr>
        <w:t>(</w:t>
      </w:r>
      <w:r>
        <w:rPr>
          <w:rFonts w:ascii="Calibri" w:hAnsi="Calibri"/>
          <w:i/>
          <w:w w:val="120"/>
          <w:sz w:val="20"/>
        </w:rPr>
        <w:t>t</w:t>
      </w:r>
      <w:r>
        <w:rPr>
          <w:rFonts w:ascii="Calibri" w:hAnsi="Calibri"/>
          <w:w w:val="120"/>
          <w:sz w:val="20"/>
        </w:rPr>
        <w:t>)</w:t>
      </w:r>
      <w:r>
        <w:rPr>
          <w:rFonts w:ascii="Calibri" w:hAnsi="Calibri"/>
          <w:spacing w:val="-10"/>
          <w:w w:val="120"/>
          <w:sz w:val="20"/>
        </w:rPr>
        <w:t> </w:t>
      </w:r>
      <w:r>
        <w:rPr>
          <w:rFonts w:ascii="Lucida Sans Unicode" w:hAnsi="Lucida Sans Unicode"/>
          <w:w w:val="120"/>
          <w:sz w:val="20"/>
        </w:rPr>
        <w:t>−</w:t>
      </w:r>
      <w:r>
        <w:rPr>
          <w:rFonts w:ascii="Lucida Sans Unicode" w:hAnsi="Lucida Sans Unicode"/>
          <w:spacing w:val="-32"/>
          <w:w w:val="120"/>
          <w:sz w:val="20"/>
        </w:rPr>
        <w:t> </w:t>
      </w:r>
      <w:r>
        <w:rPr>
          <w:rFonts w:ascii="Verdana" w:hAnsi="Verdana"/>
          <w:b/>
          <w:i/>
          <w:w w:val="120"/>
          <w:sz w:val="20"/>
        </w:rPr>
        <w:t>µ</w:t>
      </w:r>
      <w:r>
        <w:rPr>
          <w:rFonts w:ascii="Lucida Sans Unicode" w:hAnsi="Lucida Sans Unicode"/>
          <w:spacing w:val="69"/>
          <w:w w:val="135"/>
          <w:position w:val="16"/>
          <w:sz w:val="20"/>
        </w:rPr>
        <w:t> </w:t>
      </w:r>
      <w:r>
        <w:rPr>
          <w:rFonts w:ascii="Cambria" w:hAnsi="Cambria"/>
          <w:w w:val="135"/>
          <w:position w:val="12"/>
          <w:sz w:val="14"/>
        </w:rPr>
        <w:t>⊤</w:t>
      </w:r>
      <w:r>
        <w:rPr>
          <w:rFonts w:ascii="Calibri" w:hAnsi="Calibri"/>
          <w:b/>
          <w:w w:val="135"/>
          <w:sz w:val="20"/>
        </w:rPr>
        <w:t>Σ</w:t>
      </w:r>
      <w:r>
        <w:rPr>
          <w:rFonts w:ascii="Cambria" w:hAnsi="Cambria"/>
          <w:w w:val="135"/>
          <w:sz w:val="20"/>
          <w:vertAlign w:val="superscript"/>
        </w:rPr>
        <w:t>−</w:t>
      </w:r>
      <w:r>
        <w:rPr>
          <w:rFonts w:ascii="Calibri" w:hAnsi="Calibri"/>
          <w:w w:val="135"/>
          <w:sz w:val="20"/>
          <w:vertAlign w:val="superscript"/>
        </w:rPr>
        <w:t>1</w:t>
      </w:r>
      <w:r>
        <w:rPr>
          <w:rFonts w:ascii="Lucida Sans Unicode" w:hAnsi="Lucida Sans Unicode"/>
          <w:spacing w:val="5"/>
          <w:w w:val="135"/>
          <w:position w:val="16"/>
          <w:sz w:val="20"/>
          <w:vertAlign w:val="baseline"/>
        </w:rPr>
        <w:t> </w:t>
      </w:r>
      <w:r>
        <w:rPr>
          <w:rFonts w:ascii="Calibri" w:hAnsi="Calibri"/>
          <w:b/>
          <w:w w:val="135"/>
          <w:sz w:val="20"/>
          <w:vertAlign w:val="baseline"/>
        </w:rPr>
        <w:t>x</w:t>
      </w:r>
      <w:r>
        <w:rPr>
          <w:rFonts w:ascii="Calibri" w:hAnsi="Calibri"/>
          <w:b/>
          <w:spacing w:val="4"/>
          <w:w w:val="135"/>
          <w:sz w:val="20"/>
          <w:vertAlign w:val="baseline"/>
        </w:rPr>
        <w:t> </w:t>
      </w:r>
      <w:r>
        <w:rPr>
          <w:rFonts w:ascii="Calibri" w:hAnsi="Calibri"/>
          <w:w w:val="120"/>
          <w:sz w:val="20"/>
          <w:vertAlign w:val="baseline"/>
        </w:rPr>
        <w:t>(</w:t>
      </w:r>
      <w:r>
        <w:rPr>
          <w:rFonts w:ascii="Calibri" w:hAnsi="Calibri"/>
          <w:i/>
          <w:w w:val="120"/>
          <w:sz w:val="20"/>
          <w:vertAlign w:val="baseline"/>
        </w:rPr>
        <w:t>t</w:t>
      </w:r>
      <w:r>
        <w:rPr>
          <w:rFonts w:ascii="Calibri" w:hAnsi="Calibri"/>
          <w:w w:val="120"/>
          <w:sz w:val="20"/>
          <w:vertAlign w:val="baseline"/>
        </w:rPr>
        <w:t>)</w:t>
      </w:r>
      <w:r>
        <w:rPr>
          <w:rFonts w:ascii="Calibri" w:hAnsi="Calibri"/>
          <w:spacing w:val="-11"/>
          <w:w w:val="120"/>
          <w:sz w:val="20"/>
          <w:vertAlign w:val="baseline"/>
        </w:rPr>
        <w:t> </w:t>
      </w:r>
      <w:r>
        <w:rPr>
          <w:rFonts w:ascii="Lucida Sans Unicode" w:hAnsi="Lucida Sans Unicode"/>
          <w:w w:val="120"/>
          <w:sz w:val="20"/>
          <w:vertAlign w:val="baseline"/>
        </w:rPr>
        <w:t>−</w:t>
      </w:r>
      <w:r>
        <w:rPr>
          <w:rFonts w:ascii="Lucida Sans Unicode" w:hAnsi="Lucida Sans Unicode"/>
          <w:spacing w:val="-31"/>
          <w:w w:val="120"/>
          <w:sz w:val="20"/>
          <w:vertAlign w:val="baseline"/>
        </w:rPr>
        <w:t> </w:t>
      </w:r>
      <w:r>
        <w:rPr>
          <w:rFonts w:ascii="Verdana" w:hAnsi="Verdana"/>
          <w:b/>
          <w:i/>
          <w:spacing w:val="-10"/>
          <w:w w:val="120"/>
          <w:sz w:val="20"/>
          <w:vertAlign w:val="baseline"/>
        </w:rPr>
        <w:t>µ</w:t>
      </w:r>
      <w:r>
        <w:rPr>
          <w:rFonts w:ascii="Lucida Sans Unicode" w:hAnsi="Lucida Sans Unicode"/>
          <w:position w:val="16"/>
          <w:sz w:val="20"/>
          <w:vertAlign w:val="baseline"/>
        </w:rPr>
        <w:tab/>
      </w:r>
      <w:r>
        <w:rPr>
          <w:spacing w:val="-9"/>
          <w:w w:val="105"/>
          <w:sz w:val="20"/>
          <w:vertAlign w:val="baseline"/>
        </w:rPr>
        <w:t>(1)</w:t>
      </w:r>
    </w:p>
    <w:p>
      <w:pPr>
        <w:pStyle w:val="BodyText"/>
        <w:spacing w:before="123"/>
        <w:ind w:left="199"/>
      </w:pPr>
      <w:r>
        <w:rPr/>
        <w:br w:type="column"/>
      </w:r>
      <w:r>
        <w:rPr/>
        <w:t>indicators</w:t>
      </w:r>
      <w:r>
        <w:rPr>
          <w:spacing w:val="38"/>
        </w:rPr>
        <w:t> </w:t>
      </w:r>
      <w:r>
        <w:rPr/>
        <w:t>within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window</w:t>
      </w:r>
      <w:r>
        <w:rPr>
          <w:spacing w:val="39"/>
        </w:rPr>
        <w:t> </w:t>
      </w:r>
      <w:r>
        <w:rPr/>
        <w:t>exceeds</w:t>
      </w:r>
      <w:r>
        <w:rPr>
          <w:spacing w:val="38"/>
        </w:rPr>
        <w:t> </w:t>
      </w:r>
      <w:r>
        <w:rPr/>
        <w:t>threshold</w:t>
      </w:r>
      <w:r>
        <w:rPr>
          <w:spacing w:val="38"/>
        </w:rPr>
        <w:t> </w:t>
      </w:r>
      <w:r>
        <w:rPr>
          <w:rFonts w:ascii="Calibri" w:hAnsi="Calibri"/>
          <w:i/>
        </w:rPr>
        <w:t>δ</w:t>
      </w:r>
      <w:r>
        <w:rPr/>
        <w:t>,</w:t>
      </w:r>
      <w:r>
        <w:rPr>
          <w:spacing w:val="39"/>
        </w:rPr>
        <w:t> </w:t>
      </w:r>
      <w:r>
        <w:rPr>
          <w:spacing w:val="-2"/>
        </w:rPr>
        <w:t>parame-</w:t>
      </w:r>
    </w:p>
    <w:p>
      <w:pPr>
        <w:spacing w:line="240" w:lineRule="auto"/>
        <w:ind w:left="19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974850" cy="153035"/>
                <wp:effectExtent l="0" t="0" r="0" b="0"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197485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7" w:lineRule="exact"/>
                            </w:pPr>
                            <w:r>
                              <w:rPr/>
                              <w:t>terised</w:t>
                            </w:r>
                            <w:r>
                              <w:rPr>
                                <w:spacing w:val="14"/>
                              </w:rPr>
                              <w:t> </w:t>
                            </w:r>
                            <w:r>
                              <w:rPr/>
                              <w:t>separately</w:t>
                            </w:r>
                            <w:r>
                              <w:rPr>
                                <w:spacing w:val="14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14"/>
                              </w:rPr>
                              <w:t> </w:t>
                            </w:r>
                            <w:r>
                              <w:rPr/>
                              <w:t>each</w:t>
                            </w:r>
                            <w:r>
                              <w:rPr>
                                <w:spacing w:val="14"/>
                              </w:rPr>
                              <w:t> </w:t>
                            </w:r>
                            <w:r>
                              <w:rPr/>
                              <w:t>agent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type.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55.5pt;height:12.05pt;mso-position-horizontal-relative:char;mso-position-vertical-relative:line" type="#_x0000_t202" id="docshape14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27" w:lineRule="exact"/>
                      </w:pPr>
                      <w:r>
                        <w:rPr/>
                        <w:t>terised</w:t>
                      </w:r>
                      <w:r>
                        <w:rPr>
                          <w:spacing w:val="14"/>
                        </w:rPr>
                        <w:t> </w:t>
                      </w:r>
                      <w:r>
                        <w:rPr/>
                        <w:t>separately</w:t>
                      </w:r>
                      <w:r>
                        <w:rPr>
                          <w:spacing w:val="14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14"/>
                        </w:rPr>
                        <w:t> </w:t>
                      </w:r>
                      <w:r>
                        <w:rPr/>
                        <w:t>each</w:t>
                      </w:r>
                      <w:r>
                        <w:rPr>
                          <w:spacing w:val="14"/>
                        </w:rPr>
                        <w:t> </w:t>
                      </w:r>
                      <w:r>
                        <w:rPr/>
                        <w:t>agent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2"/>
                        </w:rPr>
                        <w:t>type.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line="240" w:lineRule="exact"/>
        <w:ind w:left="259"/>
        <w:jc w:val="both"/>
      </w:pPr>
      <w:r>
        <w:rPr>
          <w:w w:val="105"/>
        </w:rPr>
        <w:t>The baseline statistics </w:t>
      </w:r>
      <w:r>
        <w:rPr>
          <w:rFonts w:ascii="Verdana" w:hAnsi="Verdana"/>
          <w:b/>
          <w:i/>
          <w:w w:val="115"/>
        </w:rPr>
        <w:t>µ</w:t>
      </w:r>
      <w:r>
        <w:rPr>
          <w:rFonts w:ascii="Calibri" w:hAnsi="Calibri"/>
          <w:i/>
          <w:w w:val="115"/>
          <w:position w:val="-4"/>
          <w:sz w:val="14"/>
        </w:rPr>
        <w:t>i</w:t>
      </w:r>
      <w:r>
        <w:rPr>
          <w:rFonts w:ascii="Calibri" w:hAnsi="Calibri"/>
          <w:i/>
          <w:spacing w:val="23"/>
          <w:w w:val="115"/>
          <w:position w:val="-4"/>
          <w:sz w:val="14"/>
        </w:rPr>
        <w:t> </w:t>
      </w:r>
      <w:r>
        <w:rPr>
          <w:w w:val="105"/>
        </w:rPr>
        <w:t>and </w:t>
      </w:r>
      <w:r>
        <w:rPr>
          <w:rFonts w:ascii="Calibri" w:hAnsi="Calibri"/>
          <w:b/>
          <w:w w:val="155"/>
        </w:rPr>
        <w:t>Σ</w:t>
      </w:r>
      <w:r>
        <w:rPr>
          <w:rFonts w:ascii="Calibri" w:hAnsi="Calibri"/>
          <w:i/>
          <w:w w:val="155"/>
          <w:vertAlign w:val="subscript"/>
        </w:rPr>
        <w:t>i</w:t>
      </w:r>
      <w:r>
        <w:rPr>
          <w:rFonts w:ascii="Calibri" w:hAnsi="Calibri"/>
          <w:i/>
          <w:spacing w:val="-11"/>
          <w:w w:val="155"/>
          <w:vertAlign w:val="baseline"/>
        </w:rPr>
        <w:t> </w:t>
      </w:r>
      <w:r>
        <w:rPr>
          <w:w w:val="105"/>
          <w:vertAlign w:val="baseline"/>
        </w:rPr>
        <w:t>are estimated from a </w:t>
      </w:r>
      <w:r>
        <w:rPr>
          <w:w w:val="105"/>
          <w:vertAlign w:val="baseline"/>
        </w:rPr>
        <w:t>clean reference</w:t>
      </w:r>
      <w:r>
        <w:rPr>
          <w:w w:val="105"/>
          <w:vertAlign w:val="baseline"/>
        </w:rPr>
        <w:t> window</w:t>
      </w:r>
      <w:r>
        <w:rPr>
          <w:w w:val="105"/>
          <w:vertAlign w:val="baseline"/>
        </w:rPr>
        <w:t> of</w:t>
      </w:r>
      <w:r>
        <w:rPr>
          <w:w w:val="105"/>
          <w:vertAlign w:val="baseline"/>
        </w:rPr>
        <w:t> normal</w:t>
      </w:r>
      <w:r>
        <w:rPr>
          <w:w w:val="105"/>
          <w:vertAlign w:val="baseline"/>
        </w:rPr>
        <w:t> operation.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Mahalanobis </w:t>
      </w:r>
      <w:r>
        <w:rPr>
          <w:vertAlign w:val="baseline"/>
        </w:rPr>
        <w:t>metric</w:t>
      </w:r>
      <w:r>
        <w:rPr>
          <w:spacing w:val="18"/>
          <w:vertAlign w:val="baseline"/>
        </w:rPr>
        <w:t> </w:t>
      </w:r>
      <w:r>
        <w:rPr>
          <w:vertAlign w:val="baseline"/>
        </w:rPr>
        <w:t>accounts</w:t>
      </w:r>
      <w:r>
        <w:rPr>
          <w:spacing w:val="19"/>
          <w:vertAlign w:val="baseline"/>
        </w:rPr>
        <w:t> </w:t>
      </w:r>
      <w:r>
        <w:rPr>
          <w:vertAlign w:val="baseline"/>
        </w:rPr>
        <w:t>for</w:t>
      </w:r>
      <w:r>
        <w:rPr>
          <w:spacing w:val="19"/>
          <w:vertAlign w:val="baseline"/>
        </w:rPr>
        <w:t> </w:t>
      </w:r>
      <w:r>
        <w:rPr>
          <w:vertAlign w:val="baseline"/>
        </w:rPr>
        <w:t>feature</w:t>
      </w:r>
      <w:r>
        <w:rPr>
          <w:spacing w:val="19"/>
          <w:vertAlign w:val="baseline"/>
        </w:rPr>
        <w:t> </w:t>
      </w:r>
      <w:r>
        <w:rPr>
          <w:vertAlign w:val="baseline"/>
        </w:rPr>
        <w:t>correlations</w:t>
      </w:r>
      <w:r>
        <w:rPr>
          <w:spacing w:val="19"/>
          <w:vertAlign w:val="baseline"/>
        </w:rPr>
        <w:t> </w:t>
      </w:r>
      <w:r>
        <w:rPr>
          <w:vertAlign w:val="baseline"/>
        </w:rPr>
        <w:t>and</w:t>
      </w:r>
      <w:r>
        <w:rPr>
          <w:spacing w:val="18"/>
          <w:vertAlign w:val="baseline"/>
        </w:rPr>
        <w:t> </w:t>
      </w:r>
      <w:r>
        <w:rPr>
          <w:vertAlign w:val="baseline"/>
        </w:rPr>
        <w:t>scale</w:t>
      </w:r>
      <w:r>
        <w:rPr>
          <w:spacing w:val="19"/>
          <w:vertAlign w:val="baseline"/>
        </w:rPr>
        <w:t> </w:t>
      </w:r>
      <w:r>
        <w:rPr>
          <w:spacing w:val="-2"/>
          <w:vertAlign w:val="baseline"/>
        </w:rPr>
        <w:t>differences</w:t>
      </w:r>
    </w:p>
    <w:p>
      <w:pPr>
        <w:spacing w:line="249" w:lineRule="auto" w:before="18"/>
        <w:ind w:left="199" w:right="257" w:firstLine="199"/>
        <w:jc w:val="left"/>
        <w:rPr>
          <w:sz w:val="20"/>
        </w:rPr>
      </w:pPr>
      <w:r>
        <w:rPr/>
        <w:br w:type="column"/>
      </w:r>
      <w:r>
        <w:rPr>
          <w:b/>
          <w:sz w:val="20"/>
        </w:rPr>
        <w:t>Integrity-Jump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Detector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(MITM). </w:t>
      </w:r>
      <w:r>
        <w:rPr>
          <w:sz w:val="20"/>
        </w:rPr>
        <w:t>Consecutive </w:t>
      </w:r>
      <w:r>
        <w:rPr>
          <w:sz w:val="20"/>
        </w:rPr>
        <w:t>measure-ment</w:t>
      </w:r>
      <w:r>
        <w:rPr>
          <w:spacing w:val="65"/>
          <w:sz w:val="20"/>
        </w:rPr>
        <w:t> </w:t>
      </w:r>
      <w:r>
        <w:rPr>
          <w:sz w:val="20"/>
        </w:rPr>
        <w:t>differences</w:t>
      </w:r>
      <w:r>
        <w:rPr>
          <w:spacing w:val="65"/>
          <w:sz w:val="20"/>
        </w:rPr>
        <w:t> </w:t>
      </w:r>
      <w:r>
        <w:rPr>
          <w:sz w:val="20"/>
        </w:rPr>
        <w:t>are</w:t>
      </w:r>
      <w:r>
        <w:rPr>
          <w:spacing w:val="66"/>
          <w:sz w:val="20"/>
        </w:rPr>
        <w:t> </w:t>
      </w:r>
      <w:r>
        <w:rPr>
          <w:sz w:val="20"/>
        </w:rPr>
        <w:t>compared</w:t>
      </w:r>
      <w:r>
        <w:rPr>
          <w:spacing w:val="65"/>
          <w:sz w:val="20"/>
        </w:rPr>
        <w:t> </w:t>
      </w:r>
      <w:r>
        <w:rPr>
          <w:sz w:val="20"/>
        </w:rPr>
        <w:t>against</w:t>
      </w:r>
      <w:r>
        <w:rPr>
          <w:spacing w:val="65"/>
          <w:sz w:val="20"/>
        </w:rPr>
        <w:t> </w:t>
      </w:r>
      <w:r>
        <w:rPr>
          <w:sz w:val="20"/>
        </w:rPr>
        <w:t>agent-type-</w:t>
      </w:r>
      <w:r>
        <w:rPr>
          <w:spacing w:val="-2"/>
          <w:sz w:val="20"/>
        </w:rPr>
        <w:t>specific</w:t>
      </w:r>
    </w:p>
    <w:p>
      <w:pPr>
        <w:pStyle w:val="BodyText"/>
        <w:spacing w:line="109" w:lineRule="exact" w:before="8"/>
        <w:ind w:left="199"/>
      </w:pPr>
      <w:r>
        <w:rPr>
          <w:w w:val="110"/>
        </w:rPr>
        <w:t>rate-of-change</w:t>
      </w:r>
      <w:r>
        <w:rPr>
          <w:spacing w:val="14"/>
          <w:w w:val="110"/>
        </w:rPr>
        <w:t> </w:t>
      </w:r>
      <w:r>
        <w:rPr>
          <w:w w:val="110"/>
        </w:rPr>
        <w:t>bounds</w:t>
      </w:r>
      <w:r>
        <w:rPr>
          <w:spacing w:val="1"/>
          <w:w w:val="135"/>
        </w:rPr>
        <w:t> </w:t>
      </w:r>
      <w:r>
        <w:rPr>
          <w:rFonts w:ascii="Calibri" w:hAnsi="Calibri"/>
          <w:w w:val="135"/>
        </w:rPr>
        <w:t>[∆</w:t>
      </w:r>
      <w:r>
        <w:rPr>
          <w:rFonts w:ascii="Calibri" w:hAnsi="Calibri"/>
          <w:w w:val="135"/>
          <w:vertAlign w:val="superscript"/>
        </w:rPr>
        <w:t>(</w:t>
      </w:r>
      <w:r>
        <w:rPr>
          <w:rFonts w:ascii="Calibri" w:hAnsi="Calibri"/>
          <w:i/>
          <w:w w:val="135"/>
          <w:vertAlign w:val="superscript"/>
        </w:rPr>
        <w:t>i</w:t>
      </w:r>
      <w:r>
        <w:rPr>
          <w:rFonts w:ascii="Calibri" w:hAnsi="Calibri"/>
          <w:w w:val="135"/>
          <w:vertAlign w:val="superscript"/>
        </w:rPr>
        <w:t>)</w:t>
      </w:r>
      <w:r>
        <w:rPr>
          <w:rFonts w:ascii="Calibri" w:hAnsi="Calibri"/>
          <w:spacing w:val="-1"/>
          <w:w w:val="135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,</w:t>
      </w:r>
      <w:r>
        <w:rPr>
          <w:rFonts w:ascii="Calibri" w:hAnsi="Calibri"/>
          <w:i/>
          <w:spacing w:val="-16"/>
          <w:w w:val="110"/>
          <w:vertAlign w:val="baseline"/>
        </w:rPr>
        <w:t> </w:t>
      </w:r>
      <w:r>
        <w:rPr>
          <w:rFonts w:ascii="Calibri" w:hAnsi="Calibri"/>
          <w:w w:val="135"/>
          <w:vertAlign w:val="baseline"/>
        </w:rPr>
        <w:t>∆</w:t>
      </w:r>
      <w:r>
        <w:rPr>
          <w:rFonts w:ascii="Calibri" w:hAnsi="Calibri"/>
          <w:w w:val="135"/>
          <w:vertAlign w:val="superscript"/>
        </w:rPr>
        <w:t>(</w:t>
      </w:r>
      <w:r>
        <w:rPr>
          <w:rFonts w:ascii="Calibri" w:hAnsi="Calibri"/>
          <w:i/>
          <w:w w:val="135"/>
          <w:vertAlign w:val="superscript"/>
        </w:rPr>
        <w:t>i</w:t>
      </w:r>
      <w:r>
        <w:rPr>
          <w:rFonts w:ascii="Calibri" w:hAnsi="Calibri"/>
          <w:w w:val="135"/>
          <w:vertAlign w:val="superscript"/>
        </w:rPr>
        <w:t>)</w:t>
      </w:r>
      <w:r>
        <w:rPr>
          <w:rFonts w:ascii="Calibri" w:hAnsi="Calibri"/>
          <w:spacing w:val="18"/>
          <w:w w:val="135"/>
          <w:vertAlign w:val="baseline"/>
        </w:rPr>
        <w:t> </w:t>
      </w:r>
      <w:r>
        <w:rPr>
          <w:rFonts w:ascii="Calibri" w:hAnsi="Calibri"/>
          <w:w w:val="110"/>
          <w:vertAlign w:val="baseline"/>
        </w:rPr>
        <w:t>]</w:t>
      </w:r>
      <w:r>
        <w:rPr>
          <w:rFonts w:ascii="Calibri" w:hAnsi="Calibri"/>
          <w:spacing w:val="20"/>
          <w:w w:val="110"/>
          <w:vertAlign w:val="baseline"/>
        </w:rPr>
        <w:t> </w:t>
      </w:r>
      <w:r>
        <w:rPr>
          <w:w w:val="110"/>
          <w:vertAlign w:val="baseline"/>
        </w:rPr>
        <w:t>derived</w:t>
      </w:r>
      <w:r>
        <w:rPr>
          <w:spacing w:val="15"/>
          <w:w w:val="110"/>
          <w:vertAlign w:val="baseline"/>
        </w:rPr>
        <w:t> </w:t>
      </w:r>
      <w:r>
        <w:rPr>
          <w:w w:val="110"/>
          <w:vertAlign w:val="baseline"/>
        </w:rPr>
        <w:t>from</w:t>
      </w:r>
      <w:r>
        <w:rPr>
          <w:spacing w:val="17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physical</w:t>
      </w:r>
    </w:p>
    <w:p>
      <w:pPr>
        <w:pStyle w:val="BodyText"/>
        <w:spacing w:after="0" w:line="109" w:lineRule="exact"/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spacing w:line="30" w:lineRule="exact" w:before="0"/>
        <w:ind w:left="0" w:right="0" w:firstLine="0"/>
        <w:jc w:val="right"/>
        <w:rPr>
          <w:rFonts w:ascii="Calibri"/>
          <w:sz w:val="14"/>
        </w:rPr>
      </w:pPr>
      <w:r>
        <w:rPr>
          <w:rFonts w:ascii="Calibri"/>
          <w:spacing w:val="-5"/>
          <w:w w:val="120"/>
          <w:sz w:val="14"/>
        </w:rPr>
        <w:t>min</w:t>
      </w:r>
    </w:p>
    <w:p>
      <w:pPr>
        <w:spacing w:line="30" w:lineRule="exact" w:before="0"/>
        <w:ind w:left="224" w:right="0" w:firstLine="0"/>
        <w:jc w:val="left"/>
        <w:rPr>
          <w:rFonts w:ascii="Calibri"/>
          <w:sz w:val="14"/>
        </w:rPr>
      </w:pPr>
      <w:r>
        <w:rPr/>
        <w:br w:type="column"/>
      </w:r>
      <w:r>
        <w:rPr>
          <w:rFonts w:ascii="Calibri"/>
          <w:spacing w:val="-5"/>
          <w:w w:val="120"/>
          <w:sz w:val="14"/>
        </w:rPr>
        <w:t>max</w:t>
      </w:r>
    </w:p>
    <w:p>
      <w:pPr>
        <w:spacing w:after="0" w:line="30" w:lineRule="exact"/>
        <w:jc w:val="left"/>
        <w:rPr>
          <w:rFonts w:ascii="Calibri"/>
          <w:sz w:val="14"/>
        </w:rPr>
        <w:sectPr>
          <w:type w:val="continuous"/>
          <w:pgSz w:w="12240" w:h="15840"/>
          <w:pgMar w:top="900" w:bottom="280" w:left="720" w:right="720"/>
          <w:cols w:num="2" w:equalWidth="0">
            <w:col w:w="7957" w:space="40"/>
            <w:col w:w="2803"/>
          </w:cols>
        </w:sectPr>
      </w:pPr>
    </w:p>
    <w:p>
      <w:pPr>
        <w:pStyle w:val="BodyText"/>
        <w:spacing w:line="247" w:lineRule="auto"/>
        <w:ind w:left="259"/>
        <w:jc w:val="both"/>
      </w:pPr>
      <w:r>
        <w:rPr/>
        <w:t>across measurement dimensions, making it more </w:t>
      </w:r>
      <w:r>
        <w:rPr/>
        <w:t>discrimina-tive</w:t>
      </w:r>
      <w:r>
        <w:rPr>
          <w:spacing w:val="-7"/>
        </w:rPr>
        <w:t> </w:t>
      </w:r>
      <w:r>
        <w:rPr/>
        <w:t>than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Euclidean</w:t>
      </w:r>
      <w:r>
        <w:rPr>
          <w:spacing w:val="-7"/>
        </w:rPr>
        <w:t> </w:t>
      </w:r>
      <w:r>
        <w:rPr/>
        <w:t>norm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heterogeneous</w:t>
      </w:r>
      <w:r>
        <w:rPr>
          <w:spacing w:val="-7"/>
        </w:rPr>
        <w:t> </w:t>
      </w:r>
      <w:r>
        <w:rPr/>
        <w:t>sensor</w:t>
      </w:r>
      <w:r>
        <w:rPr>
          <w:spacing w:val="-7"/>
        </w:rPr>
        <w:t> </w:t>
      </w:r>
      <w:r>
        <w:rPr/>
        <w:t>vectors. The</w:t>
      </w:r>
      <w:r>
        <w:rPr>
          <w:spacing w:val="7"/>
        </w:rPr>
        <w:t> </w:t>
      </w:r>
      <w:r>
        <w:rPr/>
        <w:t>raw</w:t>
      </w:r>
      <w:r>
        <w:rPr>
          <w:spacing w:val="8"/>
        </w:rPr>
        <w:t> </w:t>
      </w:r>
      <w:r>
        <w:rPr/>
        <w:t>distance</w:t>
      </w:r>
      <w:r>
        <w:rPr>
          <w:spacing w:val="8"/>
        </w:rPr>
        <w:t> </w:t>
      </w:r>
      <w:r>
        <w:rPr>
          <w:rFonts w:ascii="Calibri"/>
          <w:i/>
        </w:rPr>
        <w:t>d</w:t>
      </w:r>
      <w:r>
        <w:rPr>
          <w:rFonts w:ascii="Calibri"/>
          <w:i/>
          <w:vertAlign w:val="subscript"/>
        </w:rPr>
        <w:t>i</w:t>
      </w:r>
      <w:r>
        <w:rPr>
          <w:rFonts w:ascii="Calibri"/>
          <w:vertAlign w:val="baseline"/>
        </w:rPr>
        <w:t>(</w:t>
      </w:r>
      <w:r>
        <w:rPr>
          <w:rFonts w:ascii="Calibri"/>
          <w:i/>
          <w:vertAlign w:val="baseline"/>
        </w:rPr>
        <w:t>t</w:t>
      </w:r>
      <w:r>
        <w:rPr>
          <w:rFonts w:ascii="Calibri"/>
          <w:vertAlign w:val="baseline"/>
        </w:rPr>
        <w:t>)</w:t>
      </w:r>
      <w:r>
        <w:rPr>
          <w:rFonts w:ascii="Calibri"/>
          <w:spacing w:val="13"/>
          <w:vertAlign w:val="baseline"/>
        </w:rPr>
        <w:t> </w:t>
      </w:r>
      <w:r>
        <w:rPr>
          <w:vertAlign w:val="baseline"/>
        </w:rPr>
        <w:t>is</w:t>
      </w:r>
      <w:r>
        <w:rPr>
          <w:spacing w:val="8"/>
          <w:vertAlign w:val="baseline"/>
        </w:rPr>
        <w:t> </w:t>
      </w:r>
      <w:r>
        <w:rPr>
          <w:vertAlign w:val="baseline"/>
        </w:rPr>
        <w:t>then</w:t>
      </w:r>
      <w:r>
        <w:rPr>
          <w:spacing w:val="8"/>
          <w:vertAlign w:val="baseline"/>
        </w:rPr>
        <w:t> </w:t>
      </w:r>
      <w:r>
        <w:rPr>
          <w:vertAlign w:val="baseline"/>
        </w:rPr>
        <w:t>min-max</w:t>
      </w:r>
      <w:r>
        <w:rPr>
          <w:spacing w:val="8"/>
          <w:vertAlign w:val="baseline"/>
        </w:rPr>
        <w:t> </w:t>
      </w:r>
      <w:r>
        <w:rPr>
          <w:vertAlign w:val="baseline"/>
        </w:rPr>
        <w:t>normalised</w:t>
      </w:r>
      <w:r>
        <w:rPr>
          <w:spacing w:val="8"/>
          <w:vertAlign w:val="baseline"/>
        </w:rPr>
        <w:t> </w:t>
      </w:r>
      <w:r>
        <w:rPr>
          <w:vertAlign w:val="baseline"/>
        </w:rPr>
        <w:t>to</w:t>
      </w:r>
      <w:r>
        <w:rPr>
          <w:spacing w:val="8"/>
          <w:vertAlign w:val="baseline"/>
        </w:rPr>
        <w:t> </w:t>
      </w:r>
      <w:r>
        <w:rPr>
          <w:spacing w:val="-2"/>
          <w:vertAlign w:val="baseline"/>
        </w:rPr>
        <w:t>produce</w:t>
      </w:r>
    </w:p>
    <w:p>
      <w:pPr>
        <w:pStyle w:val="BodyText"/>
        <w:spacing w:line="194" w:lineRule="auto"/>
        <w:ind w:left="259"/>
        <w:jc w:val="both"/>
      </w:pPr>
      <w:r>
        <w:rPr/>
        <w:t>the</w:t>
      </w:r>
      <w:r>
        <w:rPr>
          <w:spacing w:val="-4"/>
        </w:rPr>
        <w:t> </w:t>
      </w:r>
      <w:r>
        <w:rPr/>
        <w:t>standardised</w:t>
      </w:r>
      <w:r>
        <w:rPr>
          <w:spacing w:val="6"/>
        </w:rPr>
        <w:t> </w:t>
      </w:r>
      <w:r>
        <w:rPr/>
        <w:t>deviation</w:t>
      </w:r>
      <w:r>
        <w:rPr>
          <w:spacing w:val="6"/>
        </w:rPr>
        <w:t> </w:t>
      </w:r>
      <w:r>
        <w:rPr/>
        <w:t>score</w:t>
      </w:r>
      <w:r>
        <w:rPr>
          <w:spacing w:val="6"/>
        </w:rPr>
        <w:t> </w:t>
      </w:r>
      <w:r>
        <w:rPr>
          <w:rFonts w:ascii="Calibri" w:hAnsi="Calibri"/>
          <w:i/>
        </w:rPr>
        <w:t>d</w:t>
      </w:r>
      <w:r>
        <w:rPr>
          <w:rFonts w:ascii="Calibri" w:hAnsi="Calibri"/>
          <w:position w:val="5"/>
        </w:rPr>
        <w:t>˜</w:t>
      </w:r>
      <w:r>
        <w:rPr>
          <w:rFonts w:ascii="Calibri" w:hAnsi="Calibri"/>
          <w:i/>
          <w:position w:val="-2"/>
          <w:sz w:val="14"/>
        </w:rPr>
        <w:t>i</w:t>
      </w:r>
      <w:r>
        <w:rPr>
          <w:rFonts w:ascii="Calibri" w:hAnsi="Calibri"/>
        </w:rPr>
        <w:t>(</w:t>
      </w:r>
      <w:r>
        <w:rPr>
          <w:rFonts w:ascii="Calibri" w:hAnsi="Calibri"/>
          <w:i/>
        </w:rPr>
        <w:t>t</w:t>
      </w:r>
      <w:r>
        <w:rPr>
          <w:rFonts w:ascii="Calibri" w:hAnsi="Calibri"/>
        </w:rPr>
        <w:t>)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-16"/>
        </w:rPr>
        <w:t> </w:t>
      </w:r>
      <w:r>
        <w:rPr>
          <w:rFonts w:ascii="Calibri" w:hAnsi="Calibri"/>
        </w:rPr>
        <w:t>[0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2"/>
        </w:rPr>
        <w:t> </w:t>
      </w:r>
      <w:r>
        <w:rPr>
          <w:rFonts w:ascii="Calibri" w:hAnsi="Calibri"/>
          <w:spacing w:val="-5"/>
        </w:rPr>
        <w:t>1]</w:t>
      </w:r>
      <w:r>
        <w:rPr>
          <w:spacing w:val="-5"/>
        </w:rPr>
        <w:t>.</w:t>
      </w:r>
    </w:p>
    <w:p>
      <w:pPr>
        <w:pStyle w:val="BodyText"/>
        <w:spacing w:line="249" w:lineRule="auto"/>
        <w:ind w:left="198" w:right="257"/>
        <w:jc w:val="both"/>
      </w:pPr>
      <w:r>
        <w:rPr/>
        <w:br w:type="column"/>
      </w:r>
      <w:r>
        <w:rPr/>
        <w:t>operating constraints. A MITM flag is raised when an </w:t>
      </w:r>
      <w:r>
        <w:rPr/>
        <w:t>ob-served difference falls outside these bounds and cannot be explained by a known grid event such as fault clearance or load switching.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spacing w:line="240" w:lineRule="auto"/>
        <w:ind w:left="25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599264" cy="8570976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9264" cy="857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32" w:lineRule="auto" w:before="69"/>
        <w:ind w:left="259" w:right="257" w:firstLine="0"/>
        <w:jc w:val="both"/>
        <w:rPr>
          <w:sz w:val="16"/>
        </w:rPr>
      </w:pPr>
      <w:r>
        <w:rPr>
          <w:sz w:val="16"/>
        </w:rPr>
        <w:t>Fig. 2.</w:t>
      </w:r>
      <w:r>
        <w:rPr>
          <w:spacing w:val="40"/>
          <w:sz w:val="16"/>
        </w:rPr>
        <w:t> </w:t>
      </w:r>
      <w:r>
        <w:rPr>
          <w:sz w:val="16"/>
        </w:rPr>
        <w:t>Complete system flow from Rapid SCADA telemetry acquisition through the multi-layer detection pipeline, hybrid audit scheduler, and </w:t>
      </w:r>
      <w:r>
        <w:rPr>
          <w:sz w:val="16"/>
        </w:rPr>
        <w:t>explainability</w:t>
      </w:r>
      <w:r>
        <w:rPr>
          <w:spacing w:val="40"/>
          <w:sz w:val="16"/>
        </w:rPr>
        <w:t> </w:t>
      </w:r>
      <w:r>
        <w:rPr>
          <w:sz w:val="16"/>
        </w:rPr>
        <w:t>module to the Next.js operational dashboard. The 100-agent grid comprises generators, substations, PMUs, and circuit breakers connected via the PowerShell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bridge.</w:t>
      </w:r>
    </w:p>
    <w:p>
      <w:pPr>
        <w:spacing w:after="0" w:line="232" w:lineRule="auto"/>
        <w:jc w:val="both"/>
        <w:rPr>
          <w:sz w:val="16"/>
        </w:rPr>
        <w:sectPr>
          <w:pgSz w:w="12240" w:h="15840"/>
          <w:pgMar w:top="1020" w:bottom="280" w:left="720" w:right="720"/>
        </w:sectPr>
      </w:pPr>
    </w:p>
    <w:p>
      <w:pPr>
        <w:spacing w:line="240" w:lineRule="auto"/>
        <w:ind w:left="25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526747" cy="4978908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6747" cy="497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2"/>
        <w:rPr>
          <w:sz w:val="16"/>
        </w:rPr>
      </w:pPr>
    </w:p>
    <w:p>
      <w:pPr>
        <w:spacing w:line="232" w:lineRule="auto" w:before="0"/>
        <w:ind w:left="259" w:right="257" w:firstLine="0"/>
        <w:jc w:val="both"/>
        <w:rPr>
          <w:sz w:val="16"/>
        </w:rPr>
      </w:pPr>
      <w:r>
        <w:rPr>
          <w:sz w:val="16"/>
        </w:rPr>
        <w:t>Fig. 3.</w:t>
      </w:r>
      <w:r>
        <w:rPr>
          <w:spacing w:val="40"/>
          <w:sz w:val="16"/>
        </w:rPr>
        <w:t> </w:t>
      </w:r>
      <w:r>
        <w:rPr>
          <w:sz w:val="16"/>
        </w:rPr>
        <w:t>Multi-layer detection architecture. Layer A computes per-agent statistical deviation scores. Layer B applies dual-branch LSTM temporal </w:t>
      </w:r>
      <w:r>
        <w:rPr>
          <w:sz w:val="16"/>
        </w:rPr>
        <w:t>inference.</w:t>
      </w:r>
      <w:r>
        <w:rPr>
          <w:spacing w:val="40"/>
          <w:sz w:val="16"/>
        </w:rPr>
        <w:t> </w:t>
      </w:r>
      <w:r>
        <w:rPr>
          <w:sz w:val="16"/>
        </w:rPr>
        <w:t>Layer C fuses the two streams through weighted ensemble combination. The three-detector module (CUSUM, rule-based, integrity-jump) runs in parallel and</w:t>
      </w:r>
      <w:r>
        <w:rPr>
          <w:spacing w:val="40"/>
          <w:sz w:val="16"/>
        </w:rPr>
        <w:t> </w:t>
      </w:r>
      <w:r>
        <w:rPr>
          <w:sz w:val="16"/>
        </w:rPr>
        <w:t>feeds into the OR-with-precedence combiner that produces the final risk score.</w:t>
      </w:r>
    </w:p>
    <w:p>
      <w:pPr>
        <w:pStyle w:val="BodyText"/>
        <w:spacing w:before="98"/>
      </w:pPr>
    </w:p>
    <w:p>
      <w:pPr>
        <w:pStyle w:val="BodyText"/>
        <w:spacing w:after="0"/>
        <w:sectPr>
          <w:pgSz w:w="12240" w:h="15840"/>
          <w:pgMar w:top="1020" w:bottom="280" w:left="720" w:right="720"/>
        </w:sectPr>
      </w:pPr>
    </w:p>
    <w:p>
      <w:pPr>
        <w:pStyle w:val="ListParagraph"/>
        <w:numPr>
          <w:ilvl w:val="1"/>
          <w:numId w:val="4"/>
        </w:numPr>
        <w:tabs>
          <w:tab w:pos="722" w:val="left" w:leader="none"/>
        </w:tabs>
        <w:spacing w:line="240" w:lineRule="auto" w:before="98" w:after="0"/>
        <w:ind w:left="722" w:right="0" w:hanging="264"/>
        <w:jc w:val="left"/>
        <w:rPr>
          <w:sz w:val="20"/>
        </w:rPr>
      </w:pPr>
      <w:r>
        <w:rPr>
          <w:i/>
          <w:sz w:val="20"/>
        </w:rPr>
        <w:t>OR-with-Precedence</w:t>
      </w:r>
      <w:r>
        <w:rPr>
          <w:i/>
          <w:spacing w:val="61"/>
          <w:sz w:val="20"/>
        </w:rPr>
        <w:t> </w:t>
      </w:r>
      <w:r>
        <w:rPr>
          <w:i/>
          <w:sz w:val="20"/>
        </w:rPr>
        <w:t>Combiner:</w:t>
      </w:r>
      <w:r>
        <w:rPr>
          <w:i/>
          <w:spacing w:val="67"/>
          <w:w w:val="150"/>
          <w:sz w:val="20"/>
        </w:rPr>
        <w:t> </w:t>
      </w:r>
      <w:r>
        <w:rPr>
          <w:sz w:val="20"/>
        </w:rPr>
        <w:t>The</w:t>
      </w:r>
      <w:r>
        <w:rPr>
          <w:spacing w:val="62"/>
          <w:sz w:val="20"/>
        </w:rPr>
        <w:t> </w:t>
      </w:r>
      <w:r>
        <w:rPr>
          <w:sz w:val="20"/>
        </w:rPr>
        <w:t>final</w:t>
      </w:r>
      <w:r>
        <w:rPr>
          <w:spacing w:val="62"/>
          <w:sz w:val="20"/>
        </w:rPr>
        <w:t> </w:t>
      </w:r>
      <w:r>
        <w:rPr>
          <w:sz w:val="20"/>
        </w:rPr>
        <w:t>risk</w:t>
      </w:r>
      <w:r>
        <w:rPr>
          <w:spacing w:val="61"/>
          <w:sz w:val="20"/>
        </w:rPr>
        <w:t> </w:t>
      </w:r>
      <w:r>
        <w:rPr>
          <w:spacing w:val="-2"/>
          <w:sz w:val="20"/>
        </w:rPr>
        <w:t>score</w:t>
      </w:r>
    </w:p>
    <w:p>
      <w:pPr>
        <w:pStyle w:val="BodyText"/>
        <w:spacing w:before="5"/>
        <w:ind w:left="259"/>
      </w:pPr>
      <w:r>
        <w:rPr>
          <w:rFonts w:ascii="Calibri"/>
          <w:i/>
          <w:w w:val="115"/>
        </w:rPr>
        <w:t>r</w:t>
      </w:r>
      <w:r>
        <w:rPr>
          <w:rFonts w:ascii="Calibri"/>
          <w:i/>
          <w:w w:val="115"/>
          <w:vertAlign w:val="subscript"/>
        </w:rPr>
        <w:t>i</w:t>
      </w:r>
      <w:r>
        <w:rPr>
          <w:rFonts w:ascii="Calibri"/>
          <w:w w:val="115"/>
          <w:vertAlign w:val="baseline"/>
        </w:rPr>
        <w:t>(</w:t>
      </w:r>
      <w:r>
        <w:rPr>
          <w:rFonts w:ascii="Calibri"/>
          <w:i/>
          <w:w w:val="115"/>
          <w:vertAlign w:val="baseline"/>
        </w:rPr>
        <w:t>t</w:t>
      </w:r>
      <w:r>
        <w:rPr>
          <w:rFonts w:ascii="Calibri"/>
          <w:w w:val="115"/>
          <w:vertAlign w:val="baseline"/>
        </w:rPr>
        <w:t>)</w:t>
      </w:r>
      <w:r>
        <w:rPr>
          <w:rFonts w:ascii="Calibri"/>
          <w:spacing w:val="11"/>
          <w:w w:val="11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produced</w:t>
      </w:r>
      <w:r>
        <w:rPr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by</w:t>
      </w:r>
      <w:r>
        <w:rPr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1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combiner:</w:t>
      </w:r>
    </w:p>
    <w:p>
      <w:pPr>
        <w:pStyle w:val="BodyText"/>
        <w:tabs>
          <w:tab w:pos="2458" w:val="left" w:leader="none"/>
        </w:tabs>
        <w:spacing w:before="13"/>
        <w:ind w:left="11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794524</wp:posOffset>
                </wp:positionH>
                <wp:positionV relativeFrom="paragraph">
                  <wp:posOffset>266344</wp:posOffset>
                </wp:positionV>
                <wp:extent cx="377190" cy="13652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377190" cy="136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3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w w:val="13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Calibri"/>
                                <w:i/>
                                <w:w w:val="130"/>
                                <w:sz w:val="20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Calibri"/>
                                <w:w w:val="130"/>
                                <w:sz w:val="20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i/>
                                <w:w w:val="130"/>
                                <w:sz w:val="20"/>
                                <w:vertAlign w:val="baseline"/>
                              </w:rPr>
                              <w:t>t</w:t>
                            </w:r>
                            <w:r>
                              <w:rPr>
                                <w:rFonts w:ascii="Calibri"/>
                                <w:w w:val="130"/>
                                <w:sz w:val="20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libri"/>
                                <w:spacing w:val="-2"/>
                                <w:w w:val="145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10"/>
                                <w:w w:val="145"/>
                                <w:sz w:val="20"/>
                                <w:vertAlign w:val="baseline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561001pt;margin-top:20.972027pt;width:29.7pt;height:10.75pt;mso-position-horizontal-relative:page;mso-position-vertical-relative:paragraph;z-index:15738368" type="#_x0000_t202" id="docshape15" filled="false" stroked="false">
                <v:textbox inset="0,0,0,0">
                  <w:txbxContent>
                    <w:p>
                      <w:pPr>
                        <w:spacing w:line="203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i/>
                          <w:w w:val="130"/>
                          <w:sz w:val="20"/>
                        </w:rPr>
                        <w:t>r</w:t>
                      </w:r>
                      <w:r>
                        <w:rPr>
                          <w:rFonts w:ascii="Calibri"/>
                          <w:i/>
                          <w:w w:val="130"/>
                          <w:sz w:val="20"/>
                          <w:vertAlign w:val="subscript"/>
                        </w:rPr>
                        <w:t>i</w:t>
                      </w:r>
                      <w:r>
                        <w:rPr>
                          <w:rFonts w:ascii="Calibri"/>
                          <w:w w:val="130"/>
                          <w:sz w:val="20"/>
                          <w:vertAlign w:val="baseline"/>
                        </w:rPr>
                        <w:t>(</w:t>
                      </w:r>
                      <w:r>
                        <w:rPr>
                          <w:rFonts w:ascii="Calibri"/>
                          <w:i/>
                          <w:w w:val="130"/>
                          <w:sz w:val="20"/>
                          <w:vertAlign w:val="baseline"/>
                        </w:rPr>
                        <w:t>t</w:t>
                      </w:r>
                      <w:r>
                        <w:rPr>
                          <w:rFonts w:ascii="Calibri"/>
                          <w:w w:val="130"/>
                          <w:sz w:val="20"/>
                          <w:vertAlign w:val="baseline"/>
                        </w:rPr>
                        <w:t>)</w:t>
                      </w:r>
                      <w:r>
                        <w:rPr>
                          <w:rFonts w:ascii="Calibri"/>
                          <w:spacing w:val="-2"/>
                          <w:w w:val="145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Calibri"/>
                          <w:spacing w:val="-10"/>
                          <w:w w:val="145"/>
                          <w:sz w:val="20"/>
                          <w:vertAlign w:val="baseline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9904">
                <wp:simplePos x="0" y="0"/>
                <wp:positionH relativeFrom="page">
                  <wp:posOffset>1308455</wp:posOffset>
                </wp:positionH>
                <wp:positionV relativeFrom="paragraph">
                  <wp:posOffset>340239</wp:posOffset>
                </wp:positionV>
                <wp:extent cx="1202055" cy="15303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20205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0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s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2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Calibri" w:hAnsi="Calibri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Calibri" w:hAnsi="Calibri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80"/>
                                <w:sz w:val="20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pacing w:val="-3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g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2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Calibri" w:hAnsi="Calibri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Calibri" w:hAnsi="Calibri"/>
                                <w:spacing w:val="62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otherwise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028pt;margin-top:26.790535pt;width:94.65pt;height:12.05pt;mso-position-horizontal-relative:page;mso-position-vertical-relative:paragraph;z-index:-16216576" type="#_x0000_t202" id="docshape16" filled="false" stroked="false">
                <v:textbox inset="0,0,0,0">
                  <w:txbxContent>
                    <w:p>
                      <w:pPr>
                        <w:spacing w:line="240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Calibri" w:hAnsi="Calibri"/>
                          <w:i/>
                          <w:sz w:val="20"/>
                        </w:rPr>
                        <w:t>s</w:t>
                      </w:r>
                      <w:r>
                        <w:rPr>
                          <w:rFonts w:ascii="Calibri" w:hAnsi="Calibri"/>
                          <w:i/>
                          <w:spacing w:val="26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sz w:val="20"/>
                        </w:rPr>
                        <w:t>(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>t</w:t>
                      </w:r>
                      <w:r>
                        <w:rPr>
                          <w:rFonts w:ascii="Calibri" w:hAnsi="Calibri"/>
                          <w:sz w:val="20"/>
                        </w:rPr>
                        <w:t>)</w:t>
                      </w:r>
                      <w:r>
                        <w:rPr>
                          <w:rFonts w:ascii="Calibri" w:hAnsi="Calibri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80"/>
                          <w:sz w:val="20"/>
                        </w:rPr>
                        <w:t>·</w:t>
                      </w:r>
                      <w:r>
                        <w:rPr>
                          <w:rFonts w:ascii="Lucida Sans Unicode" w:hAnsi="Lucida Sans Unicode"/>
                          <w:spacing w:val="-3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>g</w:t>
                      </w:r>
                      <w:r>
                        <w:rPr>
                          <w:rFonts w:ascii="Calibri" w:hAnsi="Calibri"/>
                          <w:i/>
                          <w:spacing w:val="26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sz w:val="20"/>
                        </w:rPr>
                        <w:t>(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>t</w:t>
                      </w:r>
                      <w:r>
                        <w:rPr>
                          <w:rFonts w:ascii="Calibri" w:hAnsi="Calibri"/>
                          <w:sz w:val="20"/>
                        </w:rPr>
                        <w:t>)</w:t>
                      </w:r>
                      <w:r>
                        <w:rPr>
                          <w:rFonts w:ascii="Calibri" w:hAnsi="Calibri"/>
                          <w:spacing w:val="62"/>
                          <w:sz w:val="20"/>
                        </w:rPr>
                        <w:t>  </w:t>
                      </w:r>
                      <w:r>
                        <w:rPr>
                          <w:spacing w:val="-2"/>
                          <w:sz w:val="20"/>
                        </w:rPr>
                        <w:t>otherwise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3662756</wp:posOffset>
                </wp:positionH>
                <wp:positionV relativeFrom="paragraph">
                  <wp:posOffset>244329</wp:posOffset>
                </wp:positionV>
                <wp:extent cx="147955" cy="153035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14795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7" w:lineRule="exact"/>
                            </w:pPr>
                            <w:r>
                              <w:rPr>
                                <w:spacing w:val="-5"/>
                              </w:rPr>
                              <w:t>(5)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8.406006pt;margin-top:19.238535pt;width:11.65pt;height:12.05pt;mso-position-horizontal-relative:page;mso-position-vertical-relative:paragraph;z-index:15739392" type="#_x0000_t202" id="docshape17" filled="false" stroked="false">
                <v:textbox inset="0,0,0,0">
                  <w:txbxContent>
                    <w:p>
                      <w:pPr>
                        <w:pStyle w:val="BodyText"/>
                        <w:spacing w:line="227" w:lineRule="exact"/>
                      </w:pPr>
                      <w:r>
                        <w:rPr>
                          <w:spacing w:val="-5"/>
                        </w:rPr>
                        <w:t>(5)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/>
          <w:spacing w:val="-4"/>
          <w:w w:val="115"/>
          <w:position w:val="20"/>
        </w:rPr>
        <w:t>(</w:t>
      </w:r>
      <w:r>
        <w:rPr>
          <w:rFonts w:ascii="Calibri"/>
          <w:spacing w:val="-4"/>
          <w:w w:val="115"/>
        </w:rPr>
        <w:t>1</w:t>
      </w:r>
      <w:r>
        <w:rPr>
          <w:rFonts w:ascii="Calibri"/>
          <w:i/>
          <w:spacing w:val="-4"/>
          <w:w w:val="115"/>
        </w:rPr>
        <w:t>.</w:t>
      </w:r>
      <w:r>
        <w:rPr>
          <w:rFonts w:ascii="Calibri"/>
          <w:spacing w:val="-4"/>
          <w:w w:val="115"/>
        </w:rPr>
        <w:t>0</w:t>
      </w:r>
      <w:r>
        <w:rPr>
          <w:rFonts w:ascii="Calibri"/>
        </w:rPr>
        <w:tab/>
      </w:r>
      <w:r>
        <w:rPr>
          <w:w w:val="105"/>
        </w:rPr>
        <w:t>if</w:t>
      </w:r>
      <w:r>
        <w:rPr>
          <w:spacing w:val="-7"/>
          <w:w w:val="105"/>
        </w:rPr>
        <w:t> </w:t>
      </w:r>
      <w:r>
        <w:rPr>
          <w:w w:val="105"/>
        </w:rPr>
        <w:t>any</w:t>
      </w:r>
      <w:r>
        <w:rPr>
          <w:spacing w:val="-7"/>
          <w:w w:val="105"/>
        </w:rPr>
        <w:t> </w:t>
      </w:r>
      <w:r>
        <w:rPr>
          <w:w w:val="105"/>
        </w:rPr>
        <w:t>attack-type</w:t>
      </w:r>
      <w:r>
        <w:rPr>
          <w:spacing w:val="-7"/>
          <w:w w:val="105"/>
        </w:rPr>
        <w:t> </w:t>
      </w:r>
      <w:r>
        <w:rPr>
          <w:w w:val="105"/>
        </w:rPr>
        <w:t>flag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set</w:t>
      </w:r>
    </w:p>
    <w:p>
      <w:pPr>
        <w:pStyle w:val="BodyText"/>
        <w:spacing w:line="242" w:lineRule="exact" w:before="94"/>
        <w:ind w:left="199"/>
      </w:pPr>
      <w:r>
        <w:rPr/>
        <w:br w:type="column"/>
      </w:r>
      <w:r>
        <w:rPr>
          <w:w w:val="105"/>
        </w:rPr>
        <w:t>where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state</w:t>
      </w:r>
      <w:r>
        <w:rPr>
          <w:spacing w:val="-2"/>
          <w:w w:val="105"/>
        </w:rPr>
        <w:t> </w:t>
      </w:r>
      <w:r>
        <w:rPr>
          <w:rFonts w:ascii="Calibri"/>
          <w:i/>
          <w:w w:val="125"/>
        </w:rPr>
        <w:t>s</w:t>
      </w:r>
      <w:r>
        <w:rPr>
          <w:rFonts w:ascii="Calibri"/>
          <w:i/>
          <w:w w:val="125"/>
          <w:vertAlign w:val="subscript"/>
        </w:rPr>
        <w:t>i</w:t>
      </w:r>
      <w:r>
        <w:rPr>
          <w:rFonts w:ascii="Calibri"/>
          <w:i/>
          <w:w w:val="125"/>
          <w:vertAlign w:val="baseline"/>
        </w:rPr>
        <w:t> </w:t>
      </w:r>
      <w:r>
        <w:rPr>
          <w:w w:val="105"/>
          <w:vertAlign w:val="baseline"/>
        </w:rPr>
        <w:t>encodes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discretised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risk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score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-2"/>
          <w:w w:val="105"/>
          <w:vertAlign w:val="baseline"/>
        </w:rPr>
        <w:t> agent</w:t>
      </w:r>
    </w:p>
    <w:p>
      <w:pPr>
        <w:pStyle w:val="BodyText"/>
        <w:spacing w:line="242" w:lineRule="exact"/>
        <w:ind w:left="199"/>
      </w:pPr>
      <w:r>
        <w:rPr>
          <w:rFonts w:ascii="Calibri"/>
          <w:i/>
          <w:w w:val="120"/>
        </w:rPr>
        <w:t>i</w:t>
      </w:r>
      <w:r>
        <w:rPr>
          <w:rFonts w:ascii="Calibri"/>
          <w:i/>
          <w:spacing w:val="-4"/>
          <w:w w:val="120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its</w:t>
      </w:r>
      <w:r>
        <w:rPr>
          <w:spacing w:val="-2"/>
          <w:w w:val="105"/>
        </w:rPr>
        <w:t> </w:t>
      </w:r>
      <w:r>
        <w:rPr>
          <w:w w:val="105"/>
        </w:rPr>
        <w:t>recent</w:t>
      </w:r>
      <w:r>
        <w:rPr>
          <w:spacing w:val="-2"/>
          <w:w w:val="105"/>
        </w:rPr>
        <w:t> </w:t>
      </w:r>
      <w:r>
        <w:rPr>
          <w:w w:val="105"/>
        </w:rPr>
        <w:t>escalation</w:t>
      </w:r>
      <w:r>
        <w:rPr>
          <w:spacing w:val="-2"/>
          <w:w w:val="105"/>
        </w:rPr>
        <w:t> history:</w:t>
      </w:r>
    </w:p>
    <w:p>
      <w:pPr>
        <w:spacing w:before="177"/>
        <w:ind w:left="199" w:right="0" w:firstLine="0"/>
        <w:jc w:val="left"/>
        <w:rPr>
          <w:rFonts w:ascii="Lucida Sans Unicode" w:hAnsi="Lucida Sans Unicode"/>
          <w:position w:val="16"/>
          <w:sz w:val="20"/>
        </w:rPr>
      </w:pPr>
      <w:r>
        <w:rPr>
          <w:rFonts w:ascii="Lucida Sans Unicode" w:hAnsi="Lucida Sans Unicode"/>
          <w:position w:val="16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00928">
                <wp:simplePos x="0" y="0"/>
                <wp:positionH relativeFrom="page">
                  <wp:posOffset>5849696</wp:posOffset>
                </wp:positionH>
                <wp:positionV relativeFrom="paragraph">
                  <wp:posOffset>258285</wp:posOffset>
                </wp:positionV>
                <wp:extent cx="83185" cy="9779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83185" cy="97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1" w:lineRule="auto" w:before="23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i/>
                                <w:sz w:val="10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40"/>
                                <w:position w:val="-3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5"/>
                                <w:w w:val="140"/>
                                <w:sz w:val="10"/>
                              </w:rPr>
                              <w:t>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0.605988pt;margin-top:20.337408pt;width:6.55pt;height:7.7pt;mso-position-horizontal-relative:page;mso-position-vertical-relative:paragraph;z-index:-16215552" type="#_x0000_t202" id="docshape18" filled="false" stroked="false">
                <v:textbox inset="0,0,0,0">
                  <w:txbxContent>
                    <w:p>
                      <w:pPr>
                        <w:spacing w:line="141" w:lineRule="auto" w:before="23"/>
                        <w:ind w:left="0" w:right="0" w:firstLine="0"/>
                        <w:jc w:val="left"/>
                        <w:rPr>
                          <w:rFonts w:ascii="Arial" w:hAnsi="Arial"/>
                          <w:i/>
                          <w:sz w:val="10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5"/>
                          <w:w w:val="140"/>
                          <w:position w:val="-3"/>
                          <w:sz w:val="14"/>
                        </w:rPr>
                        <w:t>a</w:t>
                      </w:r>
                      <w:r>
                        <w:rPr>
                          <w:rFonts w:ascii="Arial" w:hAnsi="Arial"/>
                          <w:i/>
                          <w:spacing w:val="-5"/>
                          <w:w w:val="140"/>
                          <w:sz w:val="10"/>
                        </w:rPr>
                        <w:t>′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position w:val="16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01440">
                <wp:simplePos x="0" y="0"/>
                <wp:positionH relativeFrom="page">
                  <wp:posOffset>6241618</wp:posOffset>
                </wp:positionH>
                <wp:positionV relativeFrom="paragraph">
                  <wp:posOffset>216860</wp:posOffset>
                </wp:positionV>
                <wp:extent cx="36195" cy="8890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361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75"/>
                                <w:sz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1.466003pt;margin-top:17.075663pt;width:2.85pt;height:7pt;mso-position-horizontal-relative:page;mso-position-vertical-relative:paragraph;z-index:-16215040" type="#_x0000_t202" id="docshape19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75"/>
                          <w:sz w:val="14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position w:val="16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7003033</wp:posOffset>
                </wp:positionH>
                <wp:positionV relativeFrom="paragraph">
                  <wp:posOffset>315576</wp:posOffset>
                </wp:positionV>
                <wp:extent cx="147955" cy="153035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14795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7" w:lineRule="exact"/>
                            </w:pPr>
                            <w:r>
                              <w:rPr>
                                <w:spacing w:val="-5"/>
                              </w:rPr>
                              <w:t>(6)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1.419983pt;margin-top:24.848572pt;width:11.65pt;height:12.05pt;mso-position-horizontal-relative:page;mso-position-vertical-relative:paragraph;z-index:15740928" type="#_x0000_t202" id="docshape20" filled="false" stroked="false">
                <v:textbox inset="0,0,0,0">
                  <w:txbxContent>
                    <w:p>
                      <w:pPr>
                        <w:pStyle w:val="BodyText"/>
                        <w:spacing w:line="227" w:lineRule="exact"/>
                      </w:pPr>
                      <w:r>
                        <w:rPr>
                          <w:spacing w:val="-5"/>
                        </w:rPr>
                        <w:t>(6)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20"/>
          <w:sz w:val="20"/>
        </w:rPr>
        <w:t>Q</w:t>
      </w:r>
      <w:r>
        <w:rPr>
          <w:rFonts w:ascii="Calibri" w:hAnsi="Calibri"/>
          <w:w w:val="120"/>
          <w:sz w:val="20"/>
        </w:rPr>
        <w:t>(</w:t>
      </w:r>
      <w:r>
        <w:rPr>
          <w:rFonts w:ascii="Calibri" w:hAnsi="Calibri"/>
          <w:i/>
          <w:w w:val="120"/>
          <w:sz w:val="20"/>
        </w:rPr>
        <w:t>s</w:t>
      </w:r>
      <w:r>
        <w:rPr>
          <w:rFonts w:ascii="Calibri" w:hAnsi="Calibri"/>
          <w:i/>
          <w:w w:val="120"/>
          <w:sz w:val="20"/>
          <w:vertAlign w:val="subscript"/>
        </w:rPr>
        <w:t>i</w:t>
      </w:r>
      <w:r>
        <w:rPr>
          <w:rFonts w:ascii="Calibri" w:hAnsi="Calibri"/>
          <w:i/>
          <w:w w:val="120"/>
          <w:sz w:val="20"/>
          <w:vertAlign w:val="baseline"/>
        </w:rPr>
        <w:t>,</w:t>
      </w:r>
      <w:r>
        <w:rPr>
          <w:rFonts w:ascii="Calibri" w:hAnsi="Calibri"/>
          <w:i/>
          <w:spacing w:val="-19"/>
          <w:w w:val="120"/>
          <w:sz w:val="20"/>
          <w:vertAlign w:val="baseline"/>
        </w:rPr>
        <w:t> </w:t>
      </w:r>
      <w:r>
        <w:rPr>
          <w:rFonts w:ascii="Calibri" w:hAnsi="Calibri"/>
          <w:i/>
          <w:w w:val="120"/>
          <w:sz w:val="20"/>
          <w:vertAlign w:val="baseline"/>
        </w:rPr>
        <w:t>a</w:t>
      </w:r>
      <w:r>
        <w:rPr>
          <w:rFonts w:ascii="Calibri" w:hAnsi="Calibri"/>
          <w:i/>
          <w:w w:val="120"/>
          <w:sz w:val="20"/>
          <w:vertAlign w:val="subscript"/>
        </w:rPr>
        <w:t>i</w:t>
      </w:r>
      <w:r>
        <w:rPr>
          <w:rFonts w:ascii="Calibri" w:hAnsi="Calibri"/>
          <w:w w:val="120"/>
          <w:sz w:val="20"/>
          <w:vertAlign w:val="baseline"/>
        </w:rPr>
        <w:t>)</w:t>
      </w:r>
      <w:r>
        <w:rPr>
          <w:rFonts w:ascii="Calibri" w:hAnsi="Calibri"/>
          <w:spacing w:val="6"/>
          <w:w w:val="120"/>
          <w:sz w:val="20"/>
          <w:vertAlign w:val="baseline"/>
        </w:rPr>
        <w:t> </w:t>
      </w:r>
      <w:r>
        <w:rPr>
          <w:rFonts w:ascii="Lucida Sans Unicode" w:hAnsi="Lucida Sans Unicode"/>
          <w:w w:val="120"/>
          <w:sz w:val="20"/>
          <w:vertAlign w:val="baseline"/>
        </w:rPr>
        <w:t>←</w:t>
      </w:r>
      <w:r>
        <w:rPr>
          <w:rFonts w:ascii="Lucida Sans Unicode" w:hAnsi="Lucida Sans Unicode"/>
          <w:spacing w:val="-16"/>
          <w:w w:val="120"/>
          <w:sz w:val="20"/>
          <w:vertAlign w:val="baseline"/>
        </w:rPr>
        <w:t> </w:t>
      </w:r>
      <w:r>
        <w:rPr>
          <w:rFonts w:ascii="Calibri" w:hAnsi="Calibri"/>
          <w:i/>
          <w:w w:val="120"/>
          <w:sz w:val="20"/>
          <w:vertAlign w:val="baseline"/>
        </w:rPr>
        <w:t>Q</w:t>
      </w:r>
      <w:r>
        <w:rPr>
          <w:rFonts w:ascii="Calibri" w:hAnsi="Calibri"/>
          <w:w w:val="120"/>
          <w:sz w:val="20"/>
          <w:vertAlign w:val="baseline"/>
        </w:rPr>
        <w:t>(</w:t>
      </w:r>
      <w:r>
        <w:rPr>
          <w:rFonts w:ascii="Calibri" w:hAnsi="Calibri"/>
          <w:i/>
          <w:w w:val="120"/>
          <w:sz w:val="20"/>
          <w:vertAlign w:val="baseline"/>
        </w:rPr>
        <w:t>s</w:t>
      </w:r>
      <w:r>
        <w:rPr>
          <w:rFonts w:ascii="Calibri" w:hAnsi="Calibri"/>
          <w:i/>
          <w:w w:val="120"/>
          <w:sz w:val="20"/>
          <w:vertAlign w:val="subscript"/>
        </w:rPr>
        <w:t>i</w:t>
      </w:r>
      <w:r>
        <w:rPr>
          <w:rFonts w:ascii="Calibri" w:hAnsi="Calibri"/>
          <w:i/>
          <w:w w:val="120"/>
          <w:sz w:val="20"/>
          <w:vertAlign w:val="baseline"/>
        </w:rPr>
        <w:t>,</w:t>
      </w:r>
      <w:r>
        <w:rPr>
          <w:rFonts w:ascii="Calibri" w:hAnsi="Calibri"/>
          <w:i/>
          <w:spacing w:val="-18"/>
          <w:w w:val="120"/>
          <w:sz w:val="20"/>
          <w:vertAlign w:val="baseline"/>
        </w:rPr>
        <w:t> </w:t>
      </w:r>
      <w:r>
        <w:rPr>
          <w:rFonts w:ascii="Calibri" w:hAnsi="Calibri"/>
          <w:i/>
          <w:w w:val="120"/>
          <w:sz w:val="20"/>
          <w:vertAlign w:val="baseline"/>
        </w:rPr>
        <w:t>a</w:t>
      </w:r>
      <w:r>
        <w:rPr>
          <w:rFonts w:ascii="Calibri" w:hAnsi="Calibri"/>
          <w:i/>
          <w:w w:val="120"/>
          <w:sz w:val="20"/>
          <w:vertAlign w:val="subscript"/>
        </w:rPr>
        <w:t>i</w:t>
      </w:r>
      <w:r>
        <w:rPr>
          <w:rFonts w:ascii="Calibri" w:hAnsi="Calibri"/>
          <w:w w:val="120"/>
          <w:sz w:val="20"/>
          <w:vertAlign w:val="baseline"/>
        </w:rPr>
        <w:t>)</w:t>
      </w:r>
      <w:r>
        <w:rPr>
          <w:rFonts w:ascii="Calibri" w:hAnsi="Calibri"/>
          <w:spacing w:val="-18"/>
          <w:w w:val="120"/>
          <w:sz w:val="20"/>
          <w:vertAlign w:val="baseline"/>
        </w:rPr>
        <w:t> </w:t>
      </w:r>
      <w:r>
        <w:rPr>
          <w:rFonts w:ascii="Calibri" w:hAnsi="Calibri"/>
          <w:w w:val="120"/>
          <w:sz w:val="20"/>
          <w:vertAlign w:val="baseline"/>
        </w:rPr>
        <w:t>+</w:t>
      </w:r>
      <w:r>
        <w:rPr>
          <w:rFonts w:ascii="Calibri" w:hAnsi="Calibri"/>
          <w:spacing w:val="-18"/>
          <w:w w:val="120"/>
          <w:sz w:val="20"/>
          <w:vertAlign w:val="baseline"/>
        </w:rPr>
        <w:t> </w:t>
      </w:r>
      <w:r>
        <w:rPr>
          <w:rFonts w:ascii="Calibri" w:hAnsi="Calibri"/>
          <w:i/>
          <w:w w:val="120"/>
          <w:sz w:val="20"/>
          <w:vertAlign w:val="baseline"/>
        </w:rPr>
        <w:t>η</w:t>
      </w:r>
      <w:r>
        <w:rPr>
          <w:rFonts w:ascii="Lucida Sans Unicode" w:hAnsi="Lucida Sans Unicode"/>
          <w:spacing w:val="14"/>
          <w:w w:val="120"/>
          <w:position w:val="16"/>
          <w:sz w:val="20"/>
          <w:vertAlign w:val="baseline"/>
        </w:rPr>
        <w:t> </w:t>
      </w:r>
      <w:r>
        <w:rPr>
          <w:rFonts w:ascii="Calibri" w:hAnsi="Calibri"/>
          <w:i/>
          <w:w w:val="120"/>
          <w:sz w:val="20"/>
          <w:vertAlign w:val="baseline"/>
        </w:rPr>
        <w:t>r</w:t>
      </w:r>
      <w:r>
        <w:rPr>
          <w:w w:val="120"/>
          <w:sz w:val="20"/>
          <w:vertAlign w:val="subscript"/>
        </w:rPr>
        <w:t>aud</w:t>
      </w:r>
      <w:r>
        <w:rPr>
          <w:spacing w:val="-13"/>
          <w:w w:val="120"/>
          <w:sz w:val="20"/>
          <w:vertAlign w:val="baseline"/>
        </w:rPr>
        <w:t> </w:t>
      </w:r>
      <w:r>
        <w:rPr>
          <w:rFonts w:ascii="Calibri" w:hAnsi="Calibri"/>
          <w:w w:val="120"/>
          <w:sz w:val="20"/>
          <w:vertAlign w:val="baseline"/>
        </w:rPr>
        <w:t>+</w:t>
      </w:r>
      <w:r>
        <w:rPr>
          <w:rFonts w:ascii="Calibri" w:hAnsi="Calibri"/>
          <w:spacing w:val="-19"/>
          <w:w w:val="120"/>
          <w:sz w:val="20"/>
          <w:vertAlign w:val="baseline"/>
        </w:rPr>
        <w:t> </w:t>
      </w:r>
      <w:r>
        <w:rPr>
          <w:rFonts w:ascii="Calibri" w:hAnsi="Calibri"/>
          <w:i/>
          <w:w w:val="120"/>
          <w:sz w:val="20"/>
          <w:vertAlign w:val="baseline"/>
        </w:rPr>
        <w:t>γ</w:t>
      </w:r>
      <w:r>
        <w:rPr>
          <w:rFonts w:ascii="Calibri" w:hAnsi="Calibri"/>
          <w:i/>
          <w:spacing w:val="-6"/>
          <w:w w:val="120"/>
          <w:sz w:val="20"/>
          <w:vertAlign w:val="baseline"/>
        </w:rPr>
        <w:t> </w:t>
      </w:r>
      <w:r>
        <w:rPr>
          <w:rFonts w:ascii="Calibri" w:hAnsi="Calibri"/>
          <w:w w:val="120"/>
          <w:sz w:val="20"/>
          <w:vertAlign w:val="baseline"/>
        </w:rPr>
        <w:t>max</w:t>
      </w:r>
      <w:r>
        <w:rPr>
          <w:rFonts w:ascii="Calibri" w:hAnsi="Calibri"/>
          <w:spacing w:val="-19"/>
          <w:w w:val="120"/>
          <w:sz w:val="20"/>
          <w:vertAlign w:val="baseline"/>
        </w:rPr>
        <w:t> </w:t>
      </w:r>
      <w:r>
        <w:rPr>
          <w:rFonts w:ascii="Calibri" w:hAnsi="Calibri"/>
          <w:i/>
          <w:w w:val="120"/>
          <w:sz w:val="20"/>
          <w:vertAlign w:val="baseline"/>
        </w:rPr>
        <w:t>Q</w:t>
      </w:r>
      <w:r>
        <w:rPr>
          <w:rFonts w:ascii="Calibri" w:hAnsi="Calibri"/>
          <w:w w:val="120"/>
          <w:sz w:val="20"/>
          <w:vertAlign w:val="baseline"/>
        </w:rPr>
        <w:t>(</w:t>
      </w:r>
      <w:r>
        <w:rPr>
          <w:rFonts w:ascii="Calibri" w:hAnsi="Calibri"/>
          <w:i/>
          <w:w w:val="120"/>
          <w:sz w:val="20"/>
          <w:vertAlign w:val="baseline"/>
        </w:rPr>
        <w:t>s</w:t>
      </w:r>
      <w:r>
        <w:rPr>
          <w:rFonts w:ascii="Cambria" w:hAnsi="Cambria"/>
          <w:w w:val="120"/>
          <w:sz w:val="20"/>
          <w:vertAlign w:val="superscript"/>
        </w:rPr>
        <w:t>′</w:t>
      </w:r>
      <w:r>
        <w:rPr>
          <w:rFonts w:ascii="Calibri" w:hAnsi="Calibri"/>
          <w:i/>
          <w:w w:val="120"/>
          <w:sz w:val="20"/>
          <w:vertAlign w:val="baseline"/>
        </w:rPr>
        <w:t>,</w:t>
      </w:r>
      <w:r>
        <w:rPr>
          <w:rFonts w:ascii="Calibri" w:hAnsi="Calibri"/>
          <w:i/>
          <w:spacing w:val="-18"/>
          <w:w w:val="120"/>
          <w:sz w:val="20"/>
          <w:vertAlign w:val="baseline"/>
        </w:rPr>
        <w:t> </w:t>
      </w:r>
      <w:r>
        <w:rPr>
          <w:rFonts w:ascii="Calibri" w:hAnsi="Calibri"/>
          <w:i/>
          <w:w w:val="120"/>
          <w:sz w:val="20"/>
          <w:vertAlign w:val="baseline"/>
        </w:rPr>
        <w:t>a</w:t>
      </w:r>
      <w:r>
        <w:rPr>
          <w:rFonts w:ascii="Cambria" w:hAnsi="Cambria"/>
          <w:w w:val="120"/>
          <w:sz w:val="20"/>
          <w:vertAlign w:val="superscript"/>
        </w:rPr>
        <w:t>′</w:t>
      </w:r>
      <w:r>
        <w:rPr>
          <w:rFonts w:ascii="Calibri" w:hAnsi="Calibri"/>
          <w:w w:val="120"/>
          <w:sz w:val="20"/>
          <w:vertAlign w:val="baseline"/>
        </w:rPr>
        <w:t>)</w:t>
      </w:r>
      <w:r>
        <w:rPr>
          <w:rFonts w:ascii="Calibri" w:hAnsi="Calibri"/>
          <w:spacing w:val="-18"/>
          <w:w w:val="120"/>
          <w:sz w:val="20"/>
          <w:vertAlign w:val="baseline"/>
        </w:rPr>
        <w:t> </w:t>
      </w:r>
      <w:r>
        <w:rPr>
          <w:rFonts w:ascii="Lucida Sans Unicode" w:hAnsi="Lucida Sans Unicode"/>
          <w:w w:val="120"/>
          <w:sz w:val="20"/>
          <w:vertAlign w:val="baseline"/>
        </w:rPr>
        <w:t>−</w:t>
      </w:r>
      <w:r>
        <w:rPr>
          <w:rFonts w:ascii="Lucida Sans Unicode" w:hAnsi="Lucida Sans Unicode"/>
          <w:spacing w:val="-40"/>
          <w:w w:val="120"/>
          <w:sz w:val="20"/>
          <w:vertAlign w:val="baseline"/>
        </w:rPr>
        <w:t> </w:t>
      </w:r>
      <w:r>
        <w:rPr>
          <w:rFonts w:ascii="Calibri" w:hAnsi="Calibri"/>
          <w:i/>
          <w:w w:val="120"/>
          <w:sz w:val="20"/>
          <w:vertAlign w:val="baseline"/>
        </w:rPr>
        <w:t>Q</w:t>
      </w:r>
      <w:r>
        <w:rPr>
          <w:rFonts w:ascii="Calibri" w:hAnsi="Calibri"/>
          <w:w w:val="120"/>
          <w:sz w:val="20"/>
          <w:vertAlign w:val="baseline"/>
        </w:rPr>
        <w:t>(</w:t>
      </w:r>
      <w:r>
        <w:rPr>
          <w:rFonts w:ascii="Calibri" w:hAnsi="Calibri"/>
          <w:i/>
          <w:w w:val="120"/>
          <w:sz w:val="20"/>
          <w:vertAlign w:val="baseline"/>
        </w:rPr>
        <w:t>s</w:t>
      </w:r>
      <w:r>
        <w:rPr>
          <w:rFonts w:ascii="Calibri" w:hAnsi="Calibri"/>
          <w:i/>
          <w:w w:val="120"/>
          <w:sz w:val="20"/>
          <w:vertAlign w:val="subscript"/>
        </w:rPr>
        <w:t>i</w:t>
      </w:r>
      <w:r>
        <w:rPr>
          <w:rFonts w:ascii="Calibri" w:hAnsi="Calibri"/>
          <w:i/>
          <w:w w:val="120"/>
          <w:sz w:val="20"/>
          <w:vertAlign w:val="baseline"/>
        </w:rPr>
        <w:t>,</w:t>
      </w:r>
      <w:r>
        <w:rPr>
          <w:rFonts w:ascii="Calibri" w:hAnsi="Calibri"/>
          <w:i/>
          <w:spacing w:val="-18"/>
          <w:w w:val="120"/>
          <w:sz w:val="20"/>
          <w:vertAlign w:val="baseline"/>
        </w:rPr>
        <w:t> </w:t>
      </w:r>
      <w:r>
        <w:rPr>
          <w:rFonts w:ascii="Calibri" w:hAnsi="Calibri"/>
          <w:i/>
          <w:spacing w:val="-5"/>
          <w:w w:val="120"/>
          <w:sz w:val="20"/>
          <w:vertAlign w:val="baseline"/>
        </w:rPr>
        <w:t>a</w:t>
      </w:r>
      <w:r>
        <w:rPr>
          <w:rFonts w:ascii="Calibri" w:hAnsi="Calibri"/>
          <w:i/>
          <w:spacing w:val="-5"/>
          <w:w w:val="120"/>
          <w:sz w:val="20"/>
          <w:vertAlign w:val="subscript"/>
        </w:rPr>
        <w:t>i</w:t>
      </w:r>
      <w:r>
        <w:rPr>
          <w:rFonts w:ascii="Calibri" w:hAnsi="Calibri"/>
          <w:spacing w:val="-5"/>
          <w:w w:val="120"/>
          <w:sz w:val="20"/>
          <w:vertAlign w:val="baseline"/>
        </w:rPr>
        <w:t>)</w:t>
      </w:r>
      <w:r>
        <w:rPr>
          <w:rFonts w:ascii="Lucida Sans Unicode" w:hAnsi="Lucida Sans Unicode"/>
          <w:spacing w:val="-5"/>
          <w:w w:val="120"/>
          <w:position w:val="16"/>
          <w:sz w:val="20"/>
          <w:vertAlign w:val="baseline"/>
        </w:rPr>
        <w:t> </w:t>
      </w:r>
    </w:p>
    <w:p>
      <w:pPr>
        <w:spacing w:after="0"/>
        <w:jc w:val="left"/>
        <w:rPr>
          <w:rFonts w:ascii="Lucida Sans Unicode" w:hAnsi="Lucida Sans Unicode"/>
          <w:position w:val="16"/>
          <w:sz w:val="20"/>
        </w:rPr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tabs>
          <w:tab w:pos="1966" w:val="left" w:leader="none"/>
        </w:tabs>
        <w:spacing w:line="142" w:lineRule="exact" w:before="130"/>
        <w:ind w:left="1433" w:right="0" w:firstLine="0"/>
        <w:jc w:val="left"/>
        <w:rPr>
          <w:rFonts w:ascii="Calibri"/>
          <w:i/>
          <w:sz w:val="14"/>
        </w:rPr>
      </w:pPr>
      <w:r>
        <w:rPr>
          <w:rFonts w:ascii="Calibri"/>
          <w:i/>
          <w:spacing w:val="-10"/>
          <w:w w:val="175"/>
          <w:sz w:val="14"/>
        </w:rPr>
        <w:t>i</w:t>
      </w:r>
      <w:r>
        <w:rPr>
          <w:sz w:val="14"/>
        </w:rPr>
        <w:tab/>
      </w:r>
      <w:r>
        <w:rPr>
          <w:rFonts w:ascii="Calibri"/>
          <w:i/>
          <w:spacing w:val="-10"/>
          <w:w w:val="175"/>
          <w:sz w:val="14"/>
        </w:rPr>
        <w:t>i</w:t>
      </w:r>
    </w:p>
    <w:p>
      <w:pPr>
        <w:pStyle w:val="BodyText"/>
        <w:spacing w:line="215" w:lineRule="exact"/>
        <w:ind w:left="5519"/>
      </w:pPr>
      <w:r>
        <w:rPr>
          <w:w w:val="110"/>
        </w:rPr>
        <w:t>with</w:t>
      </w:r>
      <w:r>
        <w:rPr>
          <w:spacing w:val="34"/>
          <w:w w:val="110"/>
        </w:rPr>
        <w:t> </w:t>
      </w:r>
      <w:r>
        <w:rPr>
          <w:w w:val="110"/>
        </w:rPr>
        <w:t>learning</w:t>
      </w:r>
      <w:r>
        <w:rPr>
          <w:spacing w:val="35"/>
          <w:w w:val="110"/>
        </w:rPr>
        <w:t> </w:t>
      </w:r>
      <w:r>
        <w:rPr>
          <w:w w:val="110"/>
        </w:rPr>
        <w:t>rate</w:t>
      </w:r>
      <w:r>
        <w:rPr>
          <w:spacing w:val="34"/>
          <w:w w:val="110"/>
        </w:rPr>
        <w:t> </w:t>
      </w:r>
      <w:r>
        <w:rPr>
          <w:rFonts w:ascii="Calibri" w:hAnsi="Calibri"/>
          <w:i/>
          <w:w w:val="110"/>
        </w:rPr>
        <w:t>η</w:t>
      </w:r>
      <w:r>
        <w:rPr>
          <w:rFonts w:ascii="Calibri" w:hAnsi="Calibri"/>
          <w:i/>
          <w:spacing w:val="57"/>
          <w:w w:val="125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52"/>
          <w:w w:val="125"/>
        </w:rPr>
        <w:t> </w:t>
      </w:r>
      <w:r>
        <w:rPr>
          <w:rFonts w:ascii="Calibri" w:hAnsi="Calibri"/>
          <w:w w:val="110"/>
        </w:rPr>
        <w:t>0</w:t>
      </w:r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w w:val="110"/>
        </w:rPr>
        <w:t>05</w:t>
      </w:r>
      <w:r>
        <w:rPr>
          <w:w w:val="110"/>
        </w:rPr>
        <w:t>,</w:t>
      </w:r>
      <w:r>
        <w:rPr>
          <w:spacing w:val="34"/>
          <w:w w:val="110"/>
        </w:rPr>
        <w:t> </w:t>
      </w:r>
      <w:r>
        <w:rPr>
          <w:w w:val="110"/>
        </w:rPr>
        <w:t>discount</w:t>
      </w:r>
      <w:r>
        <w:rPr>
          <w:spacing w:val="35"/>
          <w:w w:val="110"/>
        </w:rPr>
        <w:t> </w:t>
      </w:r>
      <w:r>
        <w:rPr>
          <w:w w:val="110"/>
        </w:rPr>
        <w:t>factor</w:t>
      </w:r>
      <w:r>
        <w:rPr>
          <w:spacing w:val="35"/>
          <w:w w:val="110"/>
        </w:rPr>
        <w:t> </w:t>
      </w:r>
      <w:r>
        <w:rPr>
          <w:rFonts w:ascii="Calibri" w:hAnsi="Calibri"/>
          <w:i/>
          <w:w w:val="110"/>
        </w:rPr>
        <w:t>γ</w:t>
      </w:r>
      <w:r>
        <w:rPr>
          <w:rFonts w:ascii="Calibri" w:hAnsi="Calibri"/>
          <w:i/>
          <w:spacing w:val="60"/>
          <w:w w:val="125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51"/>
          <w:w w:val="125"/>
        </w:rPr>
        <w:t> </w:t>
      </w:r>
      <w:r>
        <w:rPr>
          <w:rFonts w:ascii="Calibri" w:hAnsi="Calibri"/>
          <w:spacing w:val="-4"/>
          <w:w w:val="110"/>
        </w:rPr>
        <w:t>0</w:t>
      </w:r>
      <w:r>
        <w:rPr>
          <w:rFonts w:ascii="Calibri" w:hAnsi="Calibri"/>
          <w:i/>
          <w:spacing w:val="-4"/>
          <w:w w:val="110"/>
        </w:rPr>
        <w:t>.</w:t>
      </w:r>
      <w:r>
        <w:rPr>
          <w:rFonts w:ascii="Calibri" w:hAnsi="Calibri"/>
          <w:spacing w:val="-4"/>
          <w:w w:val="110"/>
        </w:rPr>
        <w:t>95</w:t>
      </w:r>
      <w:r>
        <w:rPr>
          <w:spacing w:val="-4"/>
          <w:w w:val="110"/>
        </w:rPr>
        <w:t>,</w:t>
      </w:r>
    </w:p>
    <w:p>
      <w:pPr>
        <w:pStyle w:val="BodyText"/>
        <w:spacing w:after="0" w:line="215" w:lineRule="exact"/>
        <w:sectPr>
          <w:type w:val="continuous"/>
          <w:pgSz w:w="12240" w:h="15840"/>
          <w:pgMar w:top="900" w:bottom="280" w:left="720" w:right="720"/>
        </w:sectPr>
      </w:pPr>
    </w:p>
    <w:p>
      <w:pPr>
        <w:pStyle w:val="BodyText"/>
        <w:spacing w:line="228" w:lineRule="auto" w:before="9"/>
        <w:ind w:left="259"/>
        <w:jc w:val="both"/>
      </w:pPr>
      <w:r>
        <w:rPr>
          <w:w w:val="105"/>
        </w:rPr>
        <w:t>where</w:t>
      </w:r>
      <w:r>
        <w:rPr>
          <w:spacing w:val="34"/>
          <w:w w:val="105"/>
        </w:rPr>
        <w:t> </w:t>
      </w:r>
      <w:r>
        <w:rPr>
          <w:rFonts w:ascii="Calibri" w:hAnsi="Calibri"/>
          <w:i/>
          <w:w w:val="105"/>
        </w:rPr>
        <w:t>g</w:t>
      </w:r>
      <w:r>
        <w:rPr>
          <w:rFonts w:ascii="Calibri" w:hAnsi="Calibri"/>
          <w:i/>
          <w:w w:val="105"/>
          <w:vertAlign w:val="subscript"/>
        </w:rPr>
        <w:t>i</w:t>
      </w:r>
      <w:r>
        <w:rPr>
          <w:rFonts w:ascii="Calibri" w:hAnsi="Calibri"/>
          <w:w w:val="105"/>
          <w:vertAlign w:val="baseline"/>
        </w:rPr>
        <w:t>(</w:t>
      </w:r>
      <w:r>
        <w:rPr>
          <w:rFonts w:ascii="Calibri" w:hAnsi="Calibri"/>
          <w:i/>
          <w:w w:val="105"/>
          <w:vertAlign w:val="baseline"/>
        </w:rPr>
        <w:t>t</w:t>
      </w:r>
      <w:r>
        <w:rPr>
          <w:rFonts w:ascii="Calibri" w:hAnsi="Calibri"/>
          <w:w w:val="105"/>
          <w:vertAlign w:val="baseline"/>
        </w:rPr>
        <w:t>)</w:t>
      </w:r>
      <w:r>
        <w:rPr>
          <w:rFonts w:ascii="Calibri" w:hAnsi="Calibri"/>
          <w:spacing w:val="40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∈</w:t>
      </w:r>
      <w:r>
        <w:rPr>
          <w:rFonts w:ascii="Lucida Sans Unicode" w:hAnsi="Lucida Sans Unicode"/>
          <w:spacing w:val="40"/>
          <w:w w:val="105"/>
          <w:vertAlign w:val="baseline"/>
        </w:rPr>
        <w:t> </w:t>
      </w:r>
      <w:r>
        <w:rPr>
          <w:rFonts w:ascii="Calibri" w:hAnsi="Calibri"/>
          <w:w w:val="105"/>
          <w:vertAlign w:val="baseline"/>
        </w:rPr>
        <w:t>[0</w:t>
      </w:r>
      <w:r>
        <w:rPr>
          <w:rFonts w:ascii="Calibri" w:hAnsi="Calibri"/>
          <w:i/>
          <w:w w:val="105"/>
          <w:vertAlign w:val="baseline"/>
        </w:rPr>
        <w:t>,</w:t>
      </w:r>
      <w:r>
        <w:rPr>
          <w:rFonts w:ascii="Calibri" w:hAnsi="Calibri"/>
          <w:i/>
          <w:spacing w:val="-12"/>
          <w:w w:val="105"/>
          <w:vertAlign w:val="baseline"/>
        </w:rPr>
        <w:t> </w:t>
      </w:r>
      <w:r>
        <w:rPr>
          <w:rFonts w:ascii="Calibri" w:hAnsi="Calibri"/>
          <w:w w:val="105"/>
          <w:vertAlign w:val="baseline"/>
        </w:rPr>
        <w:t>1]</w:t>
      </w:r>
      <w:r>
        <w:rPr>
          <w:rFonts w:ascii="Calibri" w:hAnsi="Calibri"/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false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positive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suppression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gate that</w:t>
      </w:r>
      <w:r>
        <w:rPr>
          <w:w w:val="105"/>
          <w:vertAlign w:val="baseline"/>
        </w:rPr>
        <w:t> attenuates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ensemble</w:t>
      </w:r>
      <w:r>
        <w:rPr>
          <w:w w:val="105"/>
          <w:vertAlign w:val="baseline"/>
        </w:rPr>
        <w:t> score</w:t>
      </w:r>
      <w:r>
        <w:rPr>
          <w:w w:val="105"/>
          <w:vertAlign w:val="baseline"/>
        </w:rPr>
        <w:t> when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deviation</w:t>
      </w:r>
      <w:r>
        <w:rPr>
          <w:w w:val="105"/>
          <w:vertAlign w:val="baseline"/>
        </w:rPr>
        <w:t> falls </w:t>
      </w:r>
      <w:r>
        <w:rPr>
          <w:vertAlign w:val="baseline"/>
        </w:rPr>
        <w:t>within</w:t>
      </w:r>
      <w:r>
        <w:rPr>
          <w:spacing w:val="-1"/>
          <w:vertAlign w:val="baseline"/>
        </w:rPr>
        <w:t> </w:t>
      </w:r>
      <w:r>
        <w:rPr>
          <w:vertAlign w:val="baseline"/>
        </w:rPr>
        <w:t>a hysteresis band around the baseline,</w:t>
      </w:r>
      <w:r>
        <w:rPr>
          <w:spacing w:val="-1"/>
          <w:vertAlign w:val="baseline"/>
        </w:rPr>
        <w:t> </w:t>
      </w:r>
      <w:r>
        <w:rPr>
          <w:vertAlign w:val="baseline"/>
        </w:rPr>
        <w:t>limiting </w:t>
      </w:r>
      <w:r>
        <w:rPr>
          <w:spacing w:val="-2"/>
          <w:vertAlign w:val="baseline"/>
        </w:rPr>
        <w:t>spurious</w:t>
      </w:r>
    </w:p>
    <w:p>
      <w:pPr>
        <w:pStyle w:val="BodyText"/>
        <w:spacing w:before="10"/>
        <w:ind w:left="259"/>
        <w:jc w:val="both"/>
      </w:pPr>
      <w:r>
        <w:rPr/>
        <w:t>escalations</w:t>
      </w:r>
      <w:r>
        <w:rPr>
          <w:spacing w:val="13"/>
        </w:rPr>
        <w:t> </w:t>
      </w:r>
      <w:r>
        <w:rPr/>
        <w:t>during</w:t>
      </w:r>
      <w:r>
        <w:rPr>
          <w:spacing w:val="13"/>
        </w:rPr>
        <w:t> </w:t>
      </w:r>
      <w:r>
        <w:rPr/>
        <w:t>normal</w:t>
      </w:r>
      <w:r>
        <w:rPr>
          <w:spacing w:val="13"/>
        </w:rPr>
        <w:t> </w:t>
      </w:r>
      <w:r>
        <w:rPr/>
        <w:t>load</w:t>
      </w:r>
      <w:r>
        <w:rPr>
          <w:spacing w:val="13"/>
        </w:rPr>
        <w:t> </w:t>
      </w:r>
      <w:r>
        <w:rPr>
          <w:spacing w:val="-2"/>
        </w:rPr>
        <w:t>transients.</w:t>
      </w:r>
    </w:p>
    <w:p>
      <w:pPr>
        <w:pStyle w:val="BodyText"/>
        <w:spacing w:before="84"/>
      </w:pPr>
    </w:p>
    <w:p>
      <w:pPr>
        <w:pStyle w:val="ListParagraph"/>
        <w:numPr>
          <w:ilvl w:val="0"/>
          <w:numId w:val="4"/>
        </w:numPr>
        <w:tabs>
          <w:tab w:pos="540" w:val="left" w:leader="none"/>
        </w:tabs>
        <w:spacing w:line="240" w:lineRule="auto" w:before="0" w:after="0"/>
        <w:ind w:left="540" w:right="0" w:hanging="281"/>
        <w:jc w:val="left"/>
        <w:rPr>
          <w:i/>
          <w:sz w:val="20"/>
        </w:rPr>
      </w:pPr>
      <w:r>
        <w:rPr>
          <w:i/>
          <w:sz w:val="20"/>
        </w:rPr>
        <w:t>Hybrid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Audit</w:t>
      </w:r>
      <w:r>
        <w:rPr>
          <w:i/>
          <w:spacing w:val="12"/>
          <w:sz w:val="20"/>
        </w:rPr>
        <w:t> </w:t>
      </w:r>
      <w:r>
        <w:rPr>
          <w:i/>
          <w:spacing w:val="-2"/>
          <w:sz w:val="20"/>
        </w:rPr>
        <w:t>Scheduler</w:t>
      </w:r>
    </w:p>
    <w:p>
      <w:pPr>
        <w:pStyle w:val="BodyText"/>
        <w:spacing w:line="211" w:lineRule="auto" w:before="139"/>
        <w:ind w:left="259" w:firstLine="199"/>
        <w:jc w:val="both"/>
      </w:pPr>
      <w:r>
        <w:rPr/>
        <w:t>The scheduler maps the vector of agent risk scores </w:t>
      </w:r>
      <w:r>
        <w:rPr/>
        <w:t>to escalation</w:t>
      </w:r>
      <w:r>
        <w:rPr>
          <w:spacing w:val="40"/>
        </w:rPr>
        <w:t> </w:t>
      </w:r>
      <w:r>
        <w:rPr/>
        <w:t>decisions</w:t>
      </w:r>
      <w:r>
        <w:rPr>
          <w:spacing w:val="36"/>
          <w:w w:val="115"/>
        </w:rPr>
        <w:t> </w:t>
      </w:r>
      <w:r>
        <w:rPr>
          <w:rFonts w:ascii="Calibri" w:hAnsi="Calibri"/>
          <w:i/>
          <w:w w:val="115"/>
        </w:rPr>
        <w:t>a</w:t>
      </w:r>
      <w:r>
        <w:rPr>
          <w:rFonts w:ascii="Calibri" w:hAnsi="Calibri"/>
          <w:i/>
          <w:w w:val="115"/>
          <w:vertAlign w:val="subscript"/>
        </w:rPr>
        <w:t>i</w:t>
      </w:r>
      <w:r>
        <w:rPr>
          <w:rFonts w:ascii="Calibri" w:hAnsi="Calibri"/>
          <w:i/>
          <w:spacing w:val="40"/>
          <w:w w:val="115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∈ {</w:t>
      </w:r>
      <w:r>
        <w:rPr>
          <w:vertAlign w:val="baseline"/>
        </w:rPr>
        <w:t>routine</w:t>
      </w:r>
      <w:r>
        <w:rPr>
          <w:rFonts w:ascii="Calibri" w:hAnsi="Calibri"/>
          <w:i/>
          <w:vertAlign w:val="baseline"/>
        </w:rPr>
        <w:t>,</w:t>
      </w:r>
      <w:r>
        <w:rPr>
          <w:rFonts w:ascii="Calibri" w:hAnsi="Calibri"/>
          <w:i/>
          <w:spacing w:val="-12"/>
          <w:vertAlign w:val="baseline"/>
        </w:rPr>
        <w:t> </w:t>
      </w:r>
      <w:r>
        <w:rPr>
          <w:vertAlign w:val="baseline"/>
        </w:rPr>
        <w:t>priority</w:t>
      </w:r>
      <w:r>
        <w:rPr>
          <w:rFonts w:ascii="Calibri" w:hAnsi="Calibri"/>
          <w:i/>
          <w:vertAlign w:val="baseline"/>
        </w:rPr>
        <w:t>,</w:t>
      </w:r>
      <w:r>
        <w:rPr>
          <w:rFonts w:ascii="Calibri" w:hAnsi="Calibri"/>
          <w:i/>
          <w:spacing w:val="-11"/>
          <w:vertAlign w:val="baseline"/>
        </w:rPr>
        <w:t> </w:t>
      </w:r>
      <w:r>
        <w:rPr>
          <w:vertAlign w:val="baseline"/>
        </w:rPr>
        <w:t>critical</w:t>
      </w:r>
      <w:r>
        <w:rPr>
          <w:rFonts w:ascii="Lucida Sans Unicode" w:hAnsi="Lucida Sans Unicode"/>
          <w:vertAlign w:val="baseline"/>
        </w:rPr>
        <w:t>}</w:t>
      </w:r>
      <w:r>
        <w:rPr>
          <w:vertAlign w:val="baseline"/>
        </w:rPr>
        <w:t>,</w:t>
      </w:r>
      <w:r>
        <w:rPr>
          <w:spacing w:val="40"/>
          <w:vertAlign w:val="baseline"/>
        </w:rPr>
        <w:t> </w:t>
      </w:r>
      <w:r>
        <w:rPr>
          <w:vertAlign w:val="baseline"/>
        </w:rPr>
        <w:t>subject to a per-cycle budget constraint </w:t>
      </w:r>
      <w:r>
        <w:rPr>
          <w:rFonts w:ascii="Calibri" w:hAnsi="Calibri"/>
          <w:i/>
          <w:vertAlign w:val="baseline"/>
        </w:rPr>
        <w:t>B</w:t>
      </w:r>
      <w:r>
        <w:rPr>
          <w:vertAlign w:val="baseline"/>
        </w:rPr>
        <w:t>.</w:t>
      </w:r>
    </w:p>
    <w:p>
      <w:pPr>
        <w:pStyle w:val="BodyText"/>
        <w:spacing w:line="244" w:lineRule="auto"/>
        <w:ind w:left="199" w:right="257"/>
        <w:jc w:val="both"/>
      </w:pPr>
      <w:r>
        <w:rPr/>
        <w:br w:type="column"/>
      </w:r>
      <w:r>
        <w:rPr/>
        <w:t>and </w:t>
      </w:r>
      <w:r>
        <w:rPr>
          <w:rFonts w:ascii="Calibri" w:hAnsi="Calibri"/>
          <w:i/>
        </w:rPr>
        <w:t>ε</w:t>
      </w:r>
      <w:r>
        <w:rPr/>
        <w:t>-greedy exploration with </w:t>
      </w:r>
      <w:r>
        <w:rPr>
          <w:rFonts w:ascii="Calibri" w:hAnsi="Calibri"/>
          <w:i/>
        </w:rPr>
        <w:t>ε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w w:val="125"/>
        </w:rPr>
        <w:t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1</w:t>
      </w:r>
      <w:r>
        <w:rPr/>
        <w:t>. The reward </w:t>
      </w:r>
      <w:r>
        <w:rPr>
          <w:rFonts w:ascii="Calibri" w:hAnsi="Calibri"/>
          <w:i/>
        </w:rPr>
        <w:t>r</w:t>
      </w:r>
      <w:r>
        <w:rPr>
          <w:vertAlign w:val="subscript"/>
        </w:rPr>
        <w:t>aud</w:t>
      </w:r>
      <w:r>
        <w:rPr>
          <w:vertAlign w:val="baseline"/>
        </w:rPr>
        <w:t> </w:t>
      </w:r>
      <w:r>
        <w:rPr>
          <w:vertAlign w:val="baseline"/>
        </w:rPr>
        <w:t>is positive for correctly escalating a genuinely anomalous agent and negative for both missed escalations and unnecessary </w:t>
      </w:r>
      <w:r>
        <w:rPr>
          <w:spacing w:val="-2"/>
          <w:vertAlign w:val="baseline"/>
        </w:rPr>
        <w:t>escalations.</w:t>
      </w:r>
    </w:p>
    <w:p>
      <w:pPr>
        <w:pStyle w:val="ListParagraph"/>
        <w:numPr>
          <w:ilvl w:val="0"/>
          <w:numId w:val="5"/>
        </w:numPr>
        <w:tabs>
          <w:tab w:pos="662" w:val="left" w:leader="none"/>
        </w:tabs>
        <w:spacing w:line="244" w:lineRule="auto" w:before="28" w:after="0"/>
        <w:ind w:left="199" w:right="257" w:firstLine="199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97856">
                <wp:simplePos x="0" y="0"/>
                <wp:positionH relativeFrom="page">
                  <wp:posOffset>6820509</wp:posOffset>
                </wp:positionH>
                <wp:positionV relativeFrom="paragraph">
                  <wp:posOffset>255111</wp:posOffset>
                </wp:positionV>
                <wp:extent cx="36195" cy="8890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361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75"/>
                                <w:sz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047974pt;margin-top:20.087503pt;width:2.85pt;height:7pt;mso-position-horizontal-relative:page;mso-position-vertical-relative:paragraph;z-index:-16218624" type="#_x0000_t202" id="docshape21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75"/>
                          <w:sz w:val="14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0"/>
        </w:rPr>
        <w:t>Gradient-Based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Cost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Optimisation:</w:t>
      </w:r>
      <w:r>
        <w:rPr>
          <w:i/>
          <w:spacing w:val="17"/>
          <w:sz w:val="20"/>
        </w:rPr>
        <w:t> </w:t>
      </w:r>
      <w:r>
        <w:rPr>
          <w:sz w:val="20"/>
        </w:rPr>
        <w:t>Given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escalation decisions from Q-learning, a minimum audit cost </w:t>
      </w:r>
      <w:r>
        <w:rPr>
          <w:rFonts w:ascii="Calibri"/>
          <w:i/>
          <w:sz w:val="20"/>
        </w:rPr>
        <w:t>c</w:t>
      </w:r>
      <w:r>
        <w:rPr>
          <w:rFonts w:ascii="Calibri"/>
          <w:sz w:val="20"/>
          <w:vertAlign w:val="superscript"/>
        </w:rPr>
        <w:t>min</w:t>
      </w:r>
      <w:r>
        <w:rPr>
          <w:rFonts w:ascii="Calibri"/>
          <w:sz w:val="20"/>
          <w:vertAlign w:val="baseline"/>
        </w:rPr>
        <w:t> </w:t>
      </w:r>
      <w:r>
        <w:rPr>
          <w:sz w:val="20"/>
          <w:vertAlign w:val="baseline"/>
        </w:rPr>
        <w:t>is mandated for each agent based on its escalation level. The remaining budget is distributed through projected gradient </w:t>
      </w:r>
      <w:r>
        <w:rPr>
          <w:spacing w:val="-2"/>
          <w:sz w:val="20"/>
          <w:vertAlign w:val="baseline"/>
        </w:rPr>
        <w:t>descent:</w:t>
      </w:r>
    </w:p>
    <w:p>
      <w:pPr>
        <w:pStyle w:val="ListParagraph"/>
        <w:spacing w:after="0" w:line="244" w:lineRule="auto"/>
        <w:jc w:val="both"/>
        <w:rPr>
          <w:sz w:val="20"/>
        </w:rPr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ListParagraph"/>
        <w:numPr>
          <w:ilvl w:val="0"/>
          <w:numId w:val="6"/>
        </w:numPr>
        <w:tabs>
          <w:tab w:pos="722" w:val="left" w:leader="none"/>
        </w:tabs>
        <w:spacing w:line="244" w:lineRule="auto" w:before="63" w:after="0"/>
        <w:ind w:left="259" w:right="38" w:firstLine="199"/>
        <w:jc w:val="left"/>
        <w:rPr>
          <w:rFonts w:ascii="Calibri"/>
          <w:sz w:val="20"/>
        </w:rPr>
      </w:pPr>
      <w:r>
        <w:rPr>
          <w:i/>
          <w:sz w:val="20"/>
        </w:rPr>
        <w:t>Q-Learning Escalation Selection:</w:t>
      </w:r>
      <w:r>
        <w:rPr>
          <w:i/>
          <w:spacing w:val="40"/>
          <w:sz w:val="20"/>
        </w:rPr>
        <w:t> </w:t>
      </w:r>
      <w:r>
        <w:rPr>
          <w:sz w:val="20"/>
        </w:rPr>
        <w:t>A tabular Q-</w:t>
      </w:r>
      <w:r>
        <w:rPr>
          <w:sz w:val="20"/>
        </w:rPr>
        <w:t>learning agent</w:t>
      </w:r>
      <w:r>
        <w:rPr>
          <w:spacing w:val="65"/>
          <w:sz w:val="20"/>
        </w:rPr>
        <w:t> </w:t>
      </w:r>
      <w:r>
        <w:rPr>
          <w:sz w:val="20"/>
        </w:rPr>
        <w:t>[14]</w:t>
      </w:r>
      <w:r>
        <w:rPr>
          <w:spacing w:val="65"/>
          <w:sz w:val="20"/>
        </w:rPr>
        <w:t> </w:t>
      </w:r>
      <w:r>
        <w:rPr>
          <w:sz w:val="20"/>
        </w:rPr>
        <w:t>maintains</w:t>
      </w:r>
      <w:r>
        <w:rPr>
          <w:spacing w:val="65"/>
          <w:sz w:val="20"/>
        </w:rPr>
        <w:t> </w:t>
      </w:r>
      <w:r>
        <w:rPr>
          <w:sz w:val="20"/>
        </w:rPr>
        <w:t>a</w:t>
      </w:r>
      <w:r>
        <w:rPr>
          <w:spacing w:val="65"/>
          <w:sz w:val="20"/>
        </w:rPr>
        <w:t> </w:t>
      </w:r>
      <w:r>
        <w:rPr>
          <w:sz w:val="20"/>
        </w:rPr>
        <w:t>state-action</w:t>
      </w:r>
      <w:r>
        <w:rPr>
          <w:spacing w:val="65"/>
          <w:sz w:val="20"/>
        </w:rPr>
        <w:t> </w:t>
      </w:r>
      <w:r>
        <w:rPr>
          <w:sz w:val="20"/>
        </w:rPr>
        <w:t>value</w:t>
      </w:r>
      <w:r>
        <w:rPr>
          <w:spacing w:val="65"/>
          <w:sz w:val="20"/>
        </w:rPr>
        <w:t> </w:t>
      </w:r>
      <w:r>
        <w:rPr>
          <w:sz w:val="20"/>
        </w:rPr>
        <w:t>function</w:t>
      </w:r>
      <w:r>
        <w:rPr>
          <w:spacing w:val="65"/>
          <w:sz w:val="20"/>
        </w:rPr>
        <w:t> </w:t>
      </w:r>
      <w:r>
        <w:rPr>
          <w:rFonts w:ascii="Calibri"/>
          <w:i/>
          <w:sz w:val="20"/>
        </w:rPr>
        <w:t>Q</w:t>
      </w:r>
      <w:r>
        <w:rPr>
          <w:rFonts w:ascii="Calibri"/>
          <w:sz w:val="20"/>
        </w:rPr>
        <w:t>(</w:t>
      </w:r>
      <w:r>
        <w:rPr>
          <w:rFonts w:ascii="Calibri"/>
          <w:i/>
          <w:sz w:val="20"/>
        </w:rPr>
        <w:t>s,</w:t>
      </w:r>
      <w:r>
        <w:rPr>
          <w:rFonts w:ascii="Calibri"/>
          <w:i/>
          <w:spacing w:val="-11"/>
          <w:sz w:val="20"/>
        </w:rPr>
        <w:t> </w:t>
      </w:r>
      <w:r>
        <w:rPr>
          <w:rFonts w:ascii="Calibri"/>
          <w:i/>
          <w:sz w:val="20"/>
        </w:rPr>
        <w:t>a</w:t>
      </w:r>
      <w:r>
        <w:rPr>
          <w:rFonts w:ascii="Calibri"/>
          <w:sz w:val="20"/>
        </w:rPr>
        <w:t>)</w:t>
      </w:r>
    </w:p>
    <w:p>
      <w:pPr>
        <w:spacing w:line="142" w:lineRule="exact" w:before="0"/>
        <w:ind w:left="7" w:right="13" w:firstLine="0"/>
        <w:jc w:val="center"/>
        <w:rPr>
          <w:rFonts w:ascii="Calibri"/>
          <w:i/>
          <w:sz w:val="14"/>
        </w:rPr>
      </w:pPr>
      <w:r>
        <w:rPr/>
        <w:br w:type="column"/>
      </w:r>
      <w:r>
        <w:rPr>
          <w:rFonts w:ascii="Calibri"/>
          <w:i/>
          <w:spacing w:val="-10"/>
          <w:w w:val="140"/>
          <w:sz w:val="14"/>
        </w:rPr>
        <w:t>N</w:t>
      </w:r>
    </w:p>
    <w:p>
      <w:pPr>
        <w:tabs>
          <w:tab w:pos="945" w:val="left" w:leader="none"/>
          <w:tab w:pos="1297" w:val="left" w:leader="none"/>
        </w:tabs>
        <w:spacing w:line="211" w:lineRule="exact" w:before="21"/>
        <w:ind w:left="25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98368">
                <wp:simplePos x="0" y="0"/>
                <wp:positionH relativeFrom="page">
                  <wp:posOffset>4612144</wp:posOffset>
                </wp:positionH>
                <wp:positionV relativeFrom="paragraph">
                  <wp:posOffset>-80808</wp:posOffset>
                </wp:positionV>
                <wp:extent cx="182880" cy="46990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82880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7" w:lineRule="exact"/>
                              <w:rPr>
                                <w:rFonts w:ascii="Lucida Sans Unicode" w:hAnsi="Lucida Sans Unicode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24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3.161011pt;margin-top:-6.362835pt;width:14.4pt;height:37pt;mso-position-horizontal-relative:page;mso-position-vertical-relative:paragraph;z-index:-16218112" type="#_x0000_t202" id="docshape22" filled="false" stroked="false">
                <v:textbox inset="0,0,0,0">
                  <w:txbxContent>
                    <w:p>
                      <w:pPr>
                        <w:pStyle w:val="BodyText"/>
                        <w:spacing w:line="237" w:lineRule="exact"/>
                        <w:rPr>
                          <w:rFonts w:ascii="Lucida Sans Unicode" w:hAnsi="Lucida Sans Unicode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240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pacing w:val="-5"/>
          <w:w w:val="115"/>
          <w:sz w:val="20"/>
        </w:rPr>
        <w:t>min</w:t>
      </w:r>
      <w:r>
        <w:rPr>
          <w:rFonts w:ascii="Calibri"/>
          <w:sz w:val="20"/>
        </w:rPr>
        <w:tab/>
      </w:r>
      <w:r>
        <w:rPr>
          <w:rFonts w:ascii="Calibri"/>
          <w:i/>
          <w:spacing w:val="-5"/>
          <w:w w:val="125"/>
          <w:sz w:val="20"/>
        </w:rPr>
        <w:t>c</w:t>
      </w:r>
      <w:r>
        <w:rPr>
          <w:rFonts w:ascii="Calibri"/>
          <w:i/>
          <w:spacing w:val="-5"/>
          <w:w w:val="125"/>
          <w:sz w:val="20"/>
          <w:vertAlign w:val="subscript"/>
        </w:rPr>
        <w:t>i</w:t>
      </w:r>
      <w:r>
        <w:rPr>
          <w:rFonts w:ascii="Calibri"/>
          <w:i/>
          <w:sz w:val="20"/>
          <w:vertAlign w:val="baseline"/>
        </w:rPr>
        <w:tab/>
      </w:r>
      <w:r>
        <w:rPr>
          <w:spacing w:val="-7"/>
          <w:w w:val="105"/>
          <w:sz w:val="20"/>
          <w:vertAlign w:val="baseline"/>
        </w:rPr>
        <w:t>s.t.</w:t>
      </w:r>
    </w:p>
    <w:p>
      <w:pPr>
        <w:spacing w:line="105" w:lineRule="exact" w:before="0"/>
        <w:ind w:left="385" w:right="0" w:firstLine="0"/>
        <w:jc w:val="left"/>
        <w:rPr>
          <w:rFonts w:ascii="Arial"/>
          <w:b/>
          <w:sz w:val="14"/>
        </w:rPr>
      </w:pPr>
      <w:r>
        <w:rPr>
          <w:rFonts w:ascii="Arial"/>
          <w:b/>
          <w:spacing w:val="-10"/>
          <w:w w:val="105"/>
          <w:sz w:val="14"/>
        </w:rPr>
        <w:t>c</w:t>
      </w:r>
    </w:p>
    <w:p>
      <w:pPr>
        <w:spacing w:line="147" w:lineRule="exact" w:before="0"/>
        <w:ind w:left="13" w:right="6" w:firstLine="0"/>
        <w:jc w:val="center"/>
        <w:rPr>
          <w:rFonts w:ascii="Calibri"/>
          <w:sz w:val="14"/>
        </w:rPr>
      </w:pPr>
      <w:r>
        <w:rPr>
          <w:rFonts w:ascii="Calibri"/>
          <w:i/>
          <w:spacing w:val="-5"/>
          <w:w w:val="155"/>
          <w:sz w:val="14"/>
        </w:rPr>
        <w:t>i</w:t>
      </w:r>
      <w:r>
        <w:rPr>
          <w:rFonts w:ascii="Calibri"/>
          <w:spacing w:val="-5"/>
          <w:w w:val="155"/>
          <w:sz w:val="14"/>
        </w:rPr>
        <w:t>=1</w:t>
      </w:r>
    </w:p>
    <w:p>
      <w:pPr>
        <w:spacing w:line="140" w:lineRule="exact" w:before="0"/>
        <w:ind w:left="265" w:right="0" w:firstLine="0"/>
        <w:jc w:val="left"/>
        <w:rPr>
          <w:rFonts w:ascii="Calibri"/>
          <w:i/>
          <w:sz w:val="14"/>
        </w:rPr>
      </w:pPr>
      <w:r>
        <w:rPr/>
        <w:br w:type="column"/>
      </w:r>
      <w:r>
        <w:rPr>
          <w:rFonts w:ascii="Calibri"/>
          <w:i/>
          <w:spacing w:val="-10"/>
          <w:w w:val="140"/>
          <w:sz w:val="14"/>
        </w:rPr>
        <w:t>N</w:t>
      </w:r>
    </w:p>
    <w:p>
      <w:pPr>
        <w:spacing w:line="149" w:lineRule="exact" w:before="0"/>
        <w:ind w:left="1885" w:right="0" w:firstLine="0"/>
        <w:jc w:val="left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098880">
                <wp:simplePos x="0" y="0"/>
                <wp:positionH relativeFrom="page">
                  <wp:posOffset>5334660</wp:posOffset>
                </wp:positionH>
                <wp:positionV relativeFrom="paragraph">
                  <wp:posOffset>-79506</wp:posOffset>
                </wp:positionV>
                <wp:extent cx="1816100" cy="46990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1816100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188" w:val="left" w:leader="none"/>
                                <w:tab w:pos="2021" w:val="left" w:leader="none"/>
                                <w:tab w:pos="2627" w:val="left" w:leader="none"/>
                              </w:tabs>
                              <w:spacing w:line="240" w:lineRule="auto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w w:val="220"/>
                                <w:position w:val="19"/>
                                <w:sz w:val="20"/>
                              </w:rPr>
                              <w:t>Σ</w:t>
                            </w:r>
                            <w:r>
                              <w:rPr>
                                <w:rFonts w:ascii="Lucida Sans Unicode" w:hAnsi="Lucida Sans Unicode"/>
                                <w:spacing w:val="-106"/>
                                <w:w w:val="220"/>
                                <w:position w:val="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30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Calibri" w:hAnsi="Calibri"/>
                                <w:i/>
                                <w:w w:val="130"/>
                                <w:sz w:val="20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6"/>
                                <w:w w:val="13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10"/>
                                <w:sz w:val="20"/>
                                <w:vertAlign w:val="baseline"/>
                              </w:rPr>
                              <w:t>≤</w:t>
                            </w:r>
                            <w:r>
                              <w:rPr>
                                <w:rFonts w:ascii="Lucida Sans Unicode" w:hAnsi="Lucida Sans Unicode"/>
                                <w:spacing w:val="-14"/>
                                <w:w w:val="11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30"/>
                                <w:sz w:val="20"/>
                                <w:vertAlign w:val="baseline"/>
                              </w:rPr>
                              <w:t>B,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i/>
                                <w:w w:val="125"/>
                                <w:sz w:val="20"/>
                                <w:vertAlign w:val="baseline"/>
                              </w:rPr>
                              <w:t>c</w:t>
                            </w:r>
                            <w:r>
                              <w:rPr>
                                <w:rFonts w:ascii="Calibri" w:hAnsi="Calibri"/>
                                <w:i/>
                                <w:w w:val="125"/>
                                <w:sz w:val="20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9"/>
                                <w:w w:val="125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10"/>
                                <w:sz w:val="20"/>
                                <w:vertAlign w:val="baseline"/>
                              </w:rPr>
                              <w:t>≥</w:t>
                            </w:r>
                            <w:r>
                              <w:rPr>
                                <w:rFonts w:ascii="Lucida Sans Unicode" w:hAnsi="Lucida Sans Unicode"/>
                                <w:spacing w:val="-17"/>
                                <w:w w:val="11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0"/>
                                <w:w w:val="110"/>
                                <w:sz w:val="20"/>
                                <w:vertAlign w:val="baseline"/>
                              </w:rPr>
                              <w:t>c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5"/>
                                <w:w w:val="110"/>
                                <w:sz w:val="20"/>
                                <w:vertAlign w:val="baseline"/>
                              </w:rPr>
                              <w:t>∀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10"/>
                                <w:sz w:val="20"/>
                                <w:vertAlign w:val="baseline"/>
                              </w:rPr>
                              <w:t>i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spacing w:val="-9"/>
                                <w:w w:val="105"/>
                                <w:sz w:val="20"/>
                                <w:vertAlign w:val="baseline"/>
                              </w:rPr>
                              <w:t>(7)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0.052002pt;margin-top:-6.260372pt;width:143pt;height:37pt;mso-position-horizontal-relative:page;mso-position-vertical-relative:paragraph;z-index:-16217600" type="#_x0000_t202" id="docshape23" filled="false" stroked="false">
                <v:textbox inset="0,0,0,0">
                  <w:txbxContent>
                    <w:p>
                      <w:pPr>
                        <w:tabs>
                          <w:tab w:pos="1188" w:val="left" w:leader="none"/>
                          <w:tab w:pos="2021" w:val="left" w:leader="none"/>
                          <w:tab w:pos="2627" w:val="left" w:leader="none"/>
                        </w:tabs>
                        <w:spacing w:line="240" w:lineRule="auto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w w:val="220"/>
                          <w:position w:val="19"/>
                          <w:sz w:val="20"/>
                        </w:rPr>
                        <w:t>Σ</w:t>
                      </w:r>
                      <w:r>
                        <w:rPr>
                          <w:rFonts w:ascii="Lucida Sans Unicode" w:hAnsi="Lucida Sans Unicode"/>
                          <w:spacing w:val="-106"/>
                          <w:w w:val="220"/>
                          <w:position w:val="19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w w:val="130"/>
                          <w:sz w:val="20"/>
                        </w:rPr>
                        <w:t>c</w:t>
                      </w:r>
                      <w:r>
                        <w:rPr>
                          <w:rFonts w:ascii="Calibri" w:hAnsi="Calibri"/>
                          <w:i/>
                          <w:w w:val="130"/>
                          <w:sz w:val="20"/>
                          <w:vertAlign w:val="subscript"/>
                        </w:rPr>
                        <w:t>i</w:t>
                      </w:r>
                      <w:r>
                        <w:rPr>
                          <w:rFonts w:ascii="Calibri" w:hAnsi="Calibri"/>
                          <w:i/>
                          <w:spacing w:val="6"/>
                          <w:w w:val="13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10"/>
                          <w:sz w:val="20"/>
                          <w:vertAlign w:val="baseline"/>
                        </w:rPr>
                        <w:t>≤</w:t>
                      </w:r>
                      <w:r>
                        <w:rPr>
                          <w:rFonts w:ascii="Lucida Sans Unicode" w:hAnsi="Lucida Sans Unicode"/>
                          <w:spacing w:val="-14"/>
                          <w:w w:val="11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spacing w:val="-5"/>
                          <w:w w:val="130"/>
                          <w:sz w:val="20"/>
                          <w:vertAlign w:val="baseline"/>
                        </w:rPr>
                        <w:t>B,</w:t>
                      </w:r>
                      <w:r>
                        <w:rPr>
                          <w:rFonts w:ascii="Calibri" w:hAnsi="Calibri"/>
                          <w:i/>
                          <w:sz w:val="20"/>
                          <w:vertAlign w:val="baseline"/>
                        </w:rPr>
                        <w:tab/>
                      </w:r>
                      <w:r>
                        <w:rPr>
                          <w:rFonts w:ascii="Calibri" w:hAnsi="Calibri"/>
                          <w:i/>
                          <w:w w:val="125"/>
                          <w:sz w:val="20"/>
                          <w:vertAlign w:val="baseline"/>
                        </w:rPr>
                        <w:t>c</w:t>
                      </w:r>
                      <w:r>
                        <w:rPr>
                          <w:rFonts w:ascii="Calibri" w:hAnsi="Calibri"/>
                          <w:i/>
                          <w:w w:val="125"/>
                          <w:sz w:val="20"/>
                          <w:vertAlign w:val="subscript"/>
                        </w:rPr>
                        <w:t>i</w:t>
                      </w:r>
                      <w:r>
                        <w:rPr>
                          <w:rFonts w:ascii="Calibri" w:hAnsi="Calibri"/>
                          <w:i/>
                          <w:spacing w:val="-9"/>
                          <w:w w:val="125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10"/>
                          <w:sz w:val="20"/>
                          <w:vertAlign w:val="baseline"/>
                        </w:rPr>
                        <w:t>≥</w:t>
                      </w:r>
                      <w:r>
                        <w:rPr>
                          <w:rFonts w:ascii="Lucida Sans Unicode" w:hAnsi="Lucida Sans Unicode"/>
                          <w:spacing w:val="-17"/>
                          <w:w w:val="11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spacing w:val="-10"/>
                          <w:w w:val="110"/>
                          <w:sz w:val="20"/>
                          <w:vertAlign w:val="baseline"/>
                        </w:rPr>
                        <w:t>c</w:t>
                      </w:r>
                      <w:r>
                        <w:rPr>
                          <w:rFonts w:ascii="Calibri" w:hAnsi="Calibri"/>
                          <w:i/>
                          <w:sz w:val="20"/>
                          <w:vertAlign w:val="baseline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5"/>
                          <w:w w:val="110"/>
                          <w:sz w:val="20"/>
                          <w:vertAlign w:val="baseline"/>
                        </w:rPr>
                        <w:t>∀</w:t>
                      </w:r>
                      <w:r>
                        <w:rPr>
                          <w:rFonts w:ascii="Calibri" w:hAnsi="Calibri"/>
                          <w:i/>
                          <w:spacing w:val="-5"/>
                          <w:w w:val="110"/>
                          <w:sz w:val="20"/>
                          <w:vertAlign w:val="baseline"/>
                        </w:rPr>
                        <w:t>i</w:t>
                      </w:r>
                      <w:r>
                        <w:rPr>
                          <w:rFonts w:ascii="Calibri" w:hAnsi="Calibri"/>
                          <w:i/>
                          <w:sz w:val="20"/>
                          <w:vertAlign w:val="baseline"/>
                        </w:rPr>
                        <w:tab/>
                      </w:r>
                      <w:r>
                        <w:rPr>
                          <w:spacing w:val="-9"/>
                          <w:w w:val="105"/>
                          <w:sz w:val="20"/>
                          <w:vertAlign w:val="baseline"/>
                        </w:rPr>
                        <w:t>(7)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pacing w:val="-5"/>
          <w:w w:val="120"/>
          <w:sz w:val="14"/>
        </w:rPr>
        <w:t>min</w:t>
      </w:r>
    </w:p>
    <w:p>
      <w:pPr>
        <w:spacing w:line="151" w:lineRule="exact" w:before="0"/>
        <w:ind w:left="1885" w:right="0" w:firstLine="0"/>
        <w:jc w:val="left"/>
        <w:rPr>
          <w:rFonts w:ascii="Calibri"/>
          <w:i/>
          <w:sz w:val="14"/>
        </w:rPr>
      </w:pPr>
      <w:r>
        <w:rPr>
          <w:rFonts w:ascii="Calibri"/>
          <w:i/>
          <w:spacing w:val="-10"/>
          <w:w w:val="175"/>
          <w:sz w:val="14"/>
        </w:rPr>
        <w:t>i</w:t>
      </w:r>
    </w:p>
    <w:p>
      <w:pPr>
        <w:spacing w:before="15"/>
        <w:ind w:left="207" w:right="0" w:firstLine="0"/>
        <w:jc w:val="left"/>
        <w:rPr>
          <w:rFonts w:ascii="Calibri"/>
          <w:sz w:val="14"/>
        </w:rPr>
      </w:pPr>
      <w:r>
        <w:rPr>
          <w:rFonts w:ascii="Calibri"/>
          <w:i/>
          <w:spacing w:val="-5"/>
          <w:w w:val="155"/>
          <w:sz w:val="14"/>
        </w:rPr>
        <w:t>i</w:t>
      </w:r>
      <w:r>
        <w:rPr>
          <w:rFonts w:ascii="Calibri"/>
          <w:spacing w:val="-5"/>
          <w:w w:val="155"/>
          <w:sz w:val="14"/>
        </w:rPr>
        <w:t>=1</w:t>
      </w:r>
    </w:p>
    <w:p>
      <w:pPr>
        <w:spacing w:after="0"/>
        <w:jc w:val="left"/>
        <w:rPr>
          <w:rFonts w:ascii="Calibri"/>
          <w:sz w:val="14"/>
        </w:rPr>
        <w:sectPr>
          <w:type w:val="continuous"/>
          <w:pgSz w:w="12240" w:h="15840"/>
          <w:pgMar w:top="900" w:bottom="280" w:left="720" w:right="720"/>
          <w:cols w:num="3" w:equalWidth="0">
            <w:col w:w="5321" w:space="598"/>
            <w:col w:w="1530" w:space="39"/>
            <w:col w:w="3312"/>
          </w:cols>
        </w:sectPr>
      </w:pPr>
    </w:p>
    <w:p>
      <w:pPr>
        <w:pStyle w:val="BodyText"/>
        <w:spacing w:line="249" w:lineRule="auto" w:before="71"/>
        <w:ind w:left="259" w:right="5517"/>
        <w:jc w:val="both"/>
      </w:pPr>
      <w:r>
        <w:rPr/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3962120</wp:posOffset>
            </wp:positionH>
            <wp:positionV relativeFrom="paragraph">
              <wp:posOffset>57648</wp:posOffset>
            </wp:positionV>
            <wp:extent cx="3188573" cy="3394287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8573" cy="3394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</w:t>
      </w:r>
      <w:r>
        <w:rPr>
          <w:spacing w:val="-4"/>
        </w:rPr>
        <w:t> </w:t>
      </w:r>
      <w:r>
        <w:rPr/>
        <w:t>combination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Q-learning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gradient</w:t>
      </w:r>
      <w:r>
        <w:rPr>
          <w:spacing w:val="-3"/>
        </w:rPr>
        <w:t> </w:t>
      </w:r>
      <w:r>
        <w:rPr/>
        <w:t>descent</w:t>
      </w:r>
      <w:r>
        <w:rPr>
          <w:spacing w:val="-4"/>
        </w:rPr>
        <w:t> </w:t>
      </w:r>
      <w:r>
        <w:rPr/>
        <w:t>addresses both the discrete escalation selection and continuous resource allocation dimensions of the scheduling problem.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4"/>
        </w:numPr>
        <w:tabs>
          <w:tab w:pos="551" w:val="left" w:leader="none"/>
        </w:tabs>
        <w:spacing w:line="240" w:lineRule="auto" w:before="0" w:after="0"/>
        <w:ind w:left="551" w:right="0" w:hanging="292"/>
        <w:jc w:val="left"/>
        <w:rPr>
          <w:i/>
          <w:sz w:val="20"/>
        </w:rPr>
      </w:pPr>
      <w:r>
        <w:rPr>
          <w:i/>
          <w:sz w:val="20"/>
        </w:rPr>
        <w:t>Explainability</w:t>
      </w:r>
      <w:r>
        <w:rPr>
          <w:i/>
          <w:spacing w:val="7"/>
          <w:sz w:val="20"/>
        </w:rPr>
        <w:t> </w:t>
      </w:r>
      <w:r>
        <w:rPr>
          <w:i/>
          <w:spacing w:val="-2"/>
          <w:sz w:val="20"/>
        </w:rPr>
        <w:t>Module</w:t>
      </w:r>
    </w:p>
    <w:p>
      <w:pPr>
        <w:pStyle w:val="BodyText"/>
        <w:spacing w:line="249" w:lineRule="auto" w:before="126"/>
        <w:ind w:left="259" w:right="5517" w:firstLine="199"/>
        <w:jc w:val="both"/>
      </w:pPr>
      <w:r>
        <w:rPr/>
        <w:t>For each agent flagged as anomalous, the </w:t>
      </w:r>
      <w:r>
        <w:rPr/>
        <w:t>explainability module computes per-feature contribution scores using a gradient-based attribution method:</w:t>
      </w:r>
    </w:p>
    <w:p>
      <w:pPr>
        <w:pStyle w:val="BodyText"/>
        <w:spacing w:before="28"/>
      </w:pPr>
    </w:p>
    <w:p>
      <w:pPr>
        <w:tabs>
          <w:tab w:pos="2405" w:val="left" w:leader="none"/>
          <w:tab w:pos="2848" w:val="left" w:leader="none"/>
          <w:tab w:pos="5048" w:val="left" w:leader="none"/>
        </w:tabs>
        <w:spacing w:before="0"/>
        <w:ind w:left="1287" w:right="0" w:firstLine="0"/>
        <w:jc w:val="left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1946059</wp:posOffset>
                </wp:positionH>
                <wp:positionV relativeFrom="paragraph">
                  <wp:posOffset>226703</wp:posOffset>
                </wp:positionV>
                <wp:extent cx="36195" cy="88900"/>
                <wp:effectExtent l="0" t="0" r="0" b="0"/>
                <wp:wrapTopAndBottom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361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75"/>
                                <w:sz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233002pt;margin-top:17.850674pt;width:2.85pt;height:7pt;mso-position-horizontal-relative:page;mso-position-vertical-relative:paragraph;z-index:-15715840;mso-wrap-distance-left:0;mso-wrap-distance-right:0" type="#_x0000_t202" id="docshape24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75"/>
                          <w:sz w:val="14"/>
                        </w:rPr>
                        <w:t>i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04000">
                <wp:simplePos x="0" y="0"/>
                <wp:positionH relativeFrom="page">
                  <wp:posOffset>1799539</wp:posOffset>
                </wp:positionH>
                <wp:positionV relativeFrom="paragraph">
                  <wp:posOffset>-58709</wp:posOffset>
                </wp:positionV>
                <wp:extent cx="423545" cy="14478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423545" cy="144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7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21"/>
                                <w:w w:val="115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15"/>
                                <w:sz w:val="20"/>
                                <w:u w:val="single"/>
                              </w:rPr>
                              <w:t>∂s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13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w w:val="115"/>
                                <w:sz w:val="20"/>
                                <w:u w:val="single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15"/>
                                <w:sz w:val="20"/>
                                <w:u w:val="single"/>
                              </w:rPr>
                              <w:t>t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w w:val="115"/>
                                <w:sz w:val="20"/>
                                <w:u w:val="single"/>
                              </w:rPr>
                              <w:t>)</w:t>
                            </w:r>
                            <w:r>
                              <w:rPr>
                                <w:rFonts w:ascii="Calibri" w:hAnsi="Calibri"/>
                                <w:spacing w:val="80"/>
                                <w:w w:val="115"/>
                                <w:sz w:val="20"/>
                                <w:u w:val="single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695999pt;margin-top:-4.622782pt;width:33.35pt;height:11.4pt;mso-position-horizontal-relative:page;mso-position-vertical-relative:paragraph;z-index:-16212480" type="#_x0000_t202" id="docshape25" filled="false" stroked="false">
                <v:textbox inset="0,0,0,0">
                  <w:txbxContent>
                    <w:p>
                      <w:pPr>
                        <w:spacing w:line="227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sz w:val="20"/>
                        </w:rPr>
                      </w:pPr>
                      <w:r>
                        <w:rPr>
                          <w:rFonts w:ascii="Calibri" w:hAnsi="Calibri"/>
                          <w:i/>
                          <w:spacing w:val="21"/>
                          <w:w w:val="115"/>
                          <w:sz w:val="20"/>
                          <w:u w:val="single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w w:val="115"/>
                          <w:sz w:val="20"/>
                          <w:u w:val="single"/>
                        </w:rPr>
                        <w:t>∂s</w:t>
                      </w:r>
                      <w:r>
                        <w:rPr>
                          <w:rFonts w:ascii="Calibri" w:hAnsi="Calibri"/>
                          <w:i/>
                          <w:spacing w:val="13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5"/>
                          <w:w w:val="115"/>
                          <w:sz w:val="20"/>
                          <w:u w:val="single"/>
                        </w:rPr>
                        <w:t>(</w:t>
                      </w:r>
                      <w:r>
                        <w:rPr>
                          <w:rFonts w:ascii="Calibri" w:hAnsi="Calibri"/>
                          <w:i/>
                          <w:spacing w:val="-5"/>
                          <w:w w:val="115"/>
                          <w:sz w:val="20"/>
                          <w:u w:val="single"/>
                        </w:rPr>
                        <w:t>t</w:t>
                      </w:r>
                      <w:r>
                        <w:rPr>
                          <w:rFonts w:ascii="Calibri" w:hAnsi="Calibri"/>
                          <w:spacing w:val="-5"/>
                          <w:w w:val="115"/>
                          <w:sz w:val="20"/>
                          <w:u w:val="single"/>
                        </w:rPr>
                        <w:t>)</w:t>
                      </w:r>
                      <w:r>
                        <w:rPr>
                          <w:rFonts w:ascii="Calibri" w:hAnsi="Calibri"/>
                          <w:spacing w:val="80"/>
                          <w:w w:val="115"/>
                          <w:sz w:val="20"/>
                          <w:u w:val="single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05024">
                <wp:simplePos x="0" y="0"/>
                <wp:positionH relativeFrom="page">
                  <wp:posOffset>1350352</wp:posOffset>
                </wp:positionH>
                <wp:positionV relativeFrom="paragraph">
                  <wp:posOffset>108479</wp:posOffset>
                </wp:positionV>
                <wp:extent cx="41910" cy="8890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4191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95"/>
                                <w:sz w:val="14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27003pt;margin-top:8.541674pt;width:3.3pt;height:7pt;mso-position-horizontal-relative:page;mso-position-vertical-relative:paragraph;z-index:-16211456" type="#_x0000_t202" id="docshape26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95"/>
                          <w:sz w:val="14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05536">
                <wp:simplePos x="0" y="0"/>
                <wp:positionH relativeFrom="page">
                  <wp:posOffset>1799539</wp:posOffset>
                </wp:positionH>
                <wp:positionV relativeFrom="paragraph">
                  <wp:posOffset>125713</wp:posOffset>
                </wp:positionV>
                <wp:extent cx="422909" cy="16383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422909" cy="16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0" w:lineRule="exact" w:before="17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25"/>
                                <w:sz w:val="20"/>
                              </w:rPr>
                              <w:t>∂x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25"/>
                                <w:sz w:val="20"/>
                                <w:vertAlign w:val="superscript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25"/>
                                <w:sz w:val="20"/>
                                <w:vertAlign w:val="superscript"/>
                              </w:rPr>
                              <w:t>j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25"/>
                                <w:sz w:val="20"/>
                                <w:vertAlign w:val="superscript"/>
                              </w:rPr>
                              <w:t>)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25"/>
                                <w:sz w:val="20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25"/>
                                <w:sz w:val="20"/>
                                <w:vertAlign w:val="baseline"/>
                              </w:rPr>
                              <w:t>t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25"/>
                                <w:sz w:val="20"/>
                                <w:vertAlign w:val="baseline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695999pt;margin-top:9.898673pt;width:33.3pt;height:12.9pt;mso-position-horizontal-relative:page;mso-position-vertical-relative:paragraph;z-index:-16210944" type="#_x0000_t202" id="docshape27" filled="false" stroked="false">
                <v:textbox inset="0,0,0,0">
                  <w:txbxContent>
                    <w:p>
                      <w:pPr>
                        <w:spacing w:line="240" w:lineRule="exact" w:before="17"/>
                        <w:ind w:left="0" w:right="0" w:firstLine="0"/>
                        <w:jc w:val="left"/>
                        <w:rPr>
                          <w:rFonts w:ascii="Calibri" w:hAnsi="Calibri"/>
                          <w:sz w:val="20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2"/>
                          <w:w w:val="125"/>
                          <w:sz w:val="20"/>
                        </w:rPr>
                        <w:t>∂x</w:t>
                      </w:r>
                      <w:r>
                        <w:rPr>
                          <w:rFonts w:ascii="Calibri" w:hAnsi="Calibri"/>
                          <w:spacing w:val="-2"/>
                          <w:w w:val="125"/>
                          <w:sz w:val="20"/>
                          <w:vertAlign w:val="superscript"/>
                        </w:rPr>
                        <w:t>(</w:t>
                      </w:r>
                      <w:r>
                        <w:rPr>
                          <w:rFonts w:ascii="Calibri" w:hAnsi="Calibri"/>
                          <w:i/>
                          <w:spacing w:val="-2"/>
                          <w:w w:val="125"/>
                          <w:sz w:val="20"/>
                          <w:vertAlign w:val="superscript"/>
                        </w:rPr>
                        <w:t>j</w:t>
                      </w:r>
                      <w:r>
                        <w:rPr>
                          <w:rFonts w:ascii="Calibri" w:hAnsi="Calibri"/>
                          <w:spacing w:val="-2"/>
                          <w:w w:val="125"/>
                          <w:sz w:val="20"/>
                          <w:vertAlign w:val="superscript"/>
                        </w:rPr>
                        <w:t>)</w:t>
                      </w:r>
                      <w:r>
                        <w:rPr>
                          <w:rFonts w:ascii="Calibri" w:hAnsi="Calibri"/>
                          <w:spacing w:val="-2"/>
                          <w:w w:val="125"/>
                          <w:sz w:val="20"/>
                          <w:vertAlign w:val="baseline"/>
                        </w:rPr>
                        <w:t>(</w:t>
                      </w:r>
                      <w:r>
                        <w:rPr>
                          <w:rFonts w:ascii="Calibri" w:hAnsi="Calibri"/>
                          <w:i/>
                          <w:spacing w:val="-2"/>
                          <w:w w:val="125"/>
                          <w:sz w:val="20"/>
                          <w:vertAlign w:val="baseline"/>
                        </w:rPr>
                        <w:t>t</w:t>
                      </w:r>
                      <w:r>
                        <w:rPr>
                          <w:rFonts w:ascii="Calibri" w:hAnsi="Calibri"/>
                          <w:spacing w:val="-2"/>
                          <w:w w:val="125"/>
                          <w:sz w:val="20"/>
                          <w:vertAlign w:val="baseline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06048">
                <wp:simplePos x="0" y="0"/>
                <wp:positionH relativeFrom="page">
                  <wp:posOffset>2459405</wp:posOffset>
                </wp:positionH>
                <wp:positionV relativeFrom="paragraph">
                  <wp:posOffset>108479</wp:posOffset>
                </wp:positionV>
                <wp:extent cx="36195" cy="88900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361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75"/>
                                <w:sz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3.654007pt;margin-top:8.541674pt;width:2.85pt;height:7pt;mso-position-horizontal-relative:page;mso-position-vertical-relative:paragraph;z-index:-16210432" type="#_x0000_t202" id="docshape28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75"/>
                          <w:sz w:val="14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06560">
                <wp:simplePos x="0" y="0"/>
                <wp:positionH relativeFrom="page">
                  <wp:posOffset>2966783</wp:posOffset>
                </wp:positionH>
                <wp:positionV relativeFrom="paragraph">
                  <wp:posOffset>108479</wp:posOffset>
                </wp:positionV>
                <wp:extent cx="36195" cy="8890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361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75"/>
                                <w:sz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604996pt;margin-top:8.541674pt;width:2.85pt;height:7pt;mso-position-horizontal-relative:page;mso-position-vertical-relative:paragraph;z-index:-16209920" type="#_x0000_t202" id="docshape29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75"/>
                          <w:sz w:val="14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cs="Calibri" w:eastAsia="Calibri"/>
          <w:i/>
          <w:iCs/>
          <w:w w:val="125"/>
          <w:sz w:val="20"/>
          <w:szCs w:val="20"/>
        </w:rPr>
        <w:t>ϕ</w:t>
      </w:r>
      <w:r>
        <w:rPr>
          <w:rFonts w:ascii="Calibri" w:hAnsi="Calibri" w:cs="Calibri" w:eastAsia="Calibri"/>
          <w:w w:val="125"/>
          <w:sz w:val="20"/>
          <w:szCs w:val="20"/>
          <w:vertAlign w:val="superscript"/>
        </w:rPr>
        <w:t>(</w:t>
      </w:r>
      <w:r>
        <w:rPr>
          <w:rFonts w:ascii="Calibri" w:hAnsi="Calibri" w:cs="Calibri" w:eastAsia="Calibri"/>
          <w:i/>
          <w:iCs/>
          <w:w w:val="125"/>
          <w:sz w:val="20"/>
          <w:szCs w:val="20"/>
          <w:vertAlign w:val="superscript"/>
        </w:rPr>
        <w:t>i</w:t>
      </w:r>
      <w:r>
        <w:rPr>
          <w:rFonts w:ascii="Calibri" w:hAnsi="Calibri" w:cs="Calibri" w:eastAsia="Calibri"/>
          <w:w w:val="125"/>
          <w:sz w:val="20"/>
          <w:szCs w:val="20"/>
          <w:vertAlign w:val="superscript"/>
        </w:rPr>
        <w:t>)</w:t>
      </w:r>
      <w:r>
        <w:rPr>
          <w:rFonts w:ascii="Calibri" w:hAnsi="Calibri" w:cs="Calibri" w:eastAsia="Calibri"/>
          <w:w w:val="125"/>
          <w:sz w:val="20"/>
          <w:szCs w:val="20"/>
          <w:vertAlign w:val="baseline"/>
        </w:rPr>
        <w:t>(</w:t>
      </w:r>
      <w:r>
        <w:rPr>
          <w:rFonts w:ascii="Calibri" w:hAnsi="Calibri" w:cs="Calibri" w:eastAsia="Calibri"/>
          <w:i/>
          <w:iCs/>
          <w:w w:val="125"/>
          <w:sz w:val="20"/>
          <w:szCs w:val="20"/>
          <w:vertAlign w:val="baseline"/>
        </w:rPr>
        <w:t>t</w:t>
      </w:r>
      <w:r>
        <w:rPr>
          <w:rFonts w:ascii="Calibri" w:hAnsi="Calibri" w:cs="Calibri" w:eastAsia="Calibri"/>
          <w:w w:val="125"/>
          <w:sz w:val="20"/>
          <w:szCs w:val="20"/>
          <w:vertAlign w:val="baseline"/>
        </w:rPr>
        <w:t>)</w:t>
      </w:r>
      <w:r>
        <w:rPr>
          <w:rFonts w:ascii="Calibri" w:hAnsi="Calibri" w:cs="Calibri" w:eastAsia="Calibri"/>
          <w:spacing w:val="-2"/>
          <w:w w:val="125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spacing w:val="-10"/>
          <w:w w:val="140"/>
          <w:sz w:val="20"/>
          <w:szCs w:val="20"/>
          <w:vertAlign w:val="baseline"/>
        </w:rPr>
        <w:t>=</w:t>
      </w:r>
      <w:r>
        <w:rPr>
          <w:rFonts w:ascii="Calibri" w:hAnsi="Calibri" w:cs="Calibri" w:eastAsia="Calibri"/>
          <w:sz w:val="20"/>
          <w:szCs w:val="20"/>
          <w:vertAlign w:val="baseline"/>
        </w:rPr>
        <w:tab/>
      </w:r>
      <w:r>
        <w:rPr>
          <w:rFonts w:ascii="Calibri" w:hAnsi="Calibri" w:cs="Calibri" w:eastAsia="Calibri"/>
          <w:i/>
          <w:iCs/>
          <w:spacing w:val="-10"/>
          <w:w w:val="160"/>
          <w:sz w:val="20"/>
          <w:szCs w:val="20"/>
          <w:u w:val="single"/>
          <w:vertAlign w:val="superscript"/>
        </w:rPr>
        <w:t>i</w:t>
      </w:r>
      <w:r>
        <w:rPr>
          <w:rFonts w:ascii="Calibri" w:hAnsi="Calibri" w:cs="Calibri" w:eastAsia="Calibri"/>
          <w:i/>
          <w:iCs/>
          <w:sz w:val="20"/>
          <w:szCs w:val="20"/>
          <w:vertAlign w:val="baseline"/>
        </w:rPr>
        <w:tab/>
      </w:r>
      <w:r>
        <w:rPr>
          <w:rFonts w:ascii="Lucida Sans Unicode" w:hAnsi="Lucida Sans Unicode" w:cs="Lucida Sans Unicode" w:eastAsia="Lucida Sans Unicode"/>
          <w:w w:val="80"/>
          <w:sz w:val="20"/>
          <w:szCs w:val="20"/>
          <w:vertAlign w:val="baseline"/>
        </w:rPr>
        <w:t>·</w:t>
      </w:r>
      <w:r>
        <w:rPr>
          <w:rFonts w:ascii="Lucida Sans Unicode" w:hAnsi="Lucida Sans Unicode" w:cs="Lucida Sans Unicode" w:eastAsia="Lucida Sans Unicode"/>
          <w:spacing w:val="39"/>
          <w:w w:val="125"/>
          <w:position w:val="16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i/>
          <w:iCs/>
          <w:w w:val="125"/>
          <w:sz w:val="20"/>
          <w:szCs w:val="20"/>
          <w:vertAlign w:val="baseline"/>
        </w:rPr>
        <w:t>x</w:t>
      </w:r>
      <w:r>
        <w:rPr>
          <w:rFonts w:ascii="Calibri" w:hAnsi="Calibri" w:cs="Calibri" w:eastAsia="Calibri"/>
          <w:w w:val="125"/>
          <w:sz w:val="20"/>
          <w:szCs w:val="20"/>
          <w:vertAlign w:val="superscript"/>
        </w:rPr>
        <w:t>(</w:t>
      </w:r>
      <w:r>
        <w:rPr>
          <w:rFonts w:ascii="Calibri" w:hAnsi="Calibri" w:cs="Calibri" w:eastAsia="Calibri"/>
          <w:i/>
          <w:iCs/>
          <w:w w:val="125"/>
          <w:sz w:val="20"/>
          <w:szCs w:val="20"/>
          <w:vertAlign w:val="superscript"/>
        </w:rPr>
        <w:t>j</w:t>
      </w:r>
      <w:r>
        <w:rPr>
          <w:rFonts w:ascii="Calibri" w:hAnsi="Calibri" w:cs="Calibri" w:eastAsia="Calibri"/>
          <w:w w:val="125"/>
          <w:sz w:val="20"/>
          <w:szCs w:val="20"/>
          <w:vertAlign w:val="superscript"/>
        </w:rPr>
        <w:t>)</w:t>
      </w:r>
      <w:r>
        <w:rPr>
          <w:rFonts w:ascii="Calibri" w:hAnsi="Calibri" w:cs="Calibri" w:eastAsia="Calibri"/>
          <w:w w:val="125"/>
          <w:sz w:val="20"/>
          <w:szCs w:val="20"/>
          <w:vertAlign w:val="baseline"/>
        </w:rPr>
        <w:t>(</w:t>
      </w:r>
      <w:r>
        <w:rPr>
          <w:rFonts w:ascii="Calibri" w:hAnsi="Calibri" w:cs="Calibri" w:eastAsia="Calibri"/>
          <w:i/>
          <w:iCs/>
          <w:w w:val="125"/>
          <w:sz w:val="20"/>
          <w:szCs w:val="20"/>
          <w:vertAlign w:val="baseline"/>
        </w:rPr>
        <w:t>t</w:t>
      </w:r>
      <w:r>
        <w:rPr>
          <w:rFonts w:ascii="Calibri" w:hAnsi="Calibri" w:cs="Calibri" w:eastAsia="Calibri"/>
          <w:w w:val="125"/>
          <w:sz w:val="20"/>
          <w:szCs w:val="20"/>
          <w:vertAlign w:val="baseline"/>
        </w:rPr>
        <w:t>)</w:t>
      </w:r>
      <w:r>
        <w:rPr>
          <w:rFonts w:ascii="Calibri" w:hAnsi="Calibri" w:cs="Calibri" w:eastAsia="Calibri"/>
          <w:spacing w:val="-14"/>
          <w:w w:val="125"/>
          <w:sz w:val="20"/>
          <w:szCs w:val="20"/>
          <w:vertAlign w:val="baseline"/>
        </w:rPr>
        <w:t> </w:t>
      </w:r>
      <w:r>
        <w:rPr>
          <w:rFonts w:ascii="Lucida Sans Unicode" w:hAnsi="Lucida Sans Unicode" w:cs="Lucida Sans Unicode" w:eastAsia="Lucida Sans Unicode"/>
          <w:w w:val="120"/>
          <w:sz w:val="20"/>
          <w:szCs w:val="20"/>
          <w:vertAlign w:val="baseline"/>
        </w:rPr>
        <w:t>−</w:t>
      </w:r>
      <w:r>
        <w:rPr>
          <w:rFonts w:ascii="Lucida Sans Unicode" w:hAnsi="Lucida Sans Unicode" w:cs="Lucida Sans Unicode" w:eastAsia="Lucida Sans Unicode"/>
          <w:spacing w:val="-32"/>
          <w:w w:val="120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i/>
          <w:iCs/>
          <w:spacing w:val="-4"/>
          <w:w w:val="125"/>
          <w:sz w:val="20"/>
          <w:szCs w:val="20"/>
          <w:vertAlign w:val="baseline"/>
        </w:rPr>
        <w:t>µ</w:t>
      </w:r>
      <w:r>
        <w:rPr>
          <w:rFonts w:ascii="Calibri" w:hAnsi="Calibri" w:cs="Calibri" w:eastAsia="Calibri"/>
          <w:spacing w:val="-4"/>
          <w:w w:val="125"/>
          <w:sz w:val="20"/>
          <w:szCs w:val="20"/>
          <w:vertAlign w:val="superscript"/>
        </w:rPr>
        <w:t>(</w:t>
      </w:r>
      <w:r>
        <w:rPr>
          <w:rFonts w:ascii="Calibri" w:hAnsi="Calibri" w:cs="Calibri" w:eastAsia="Calibri"/>
          <w:i/>
          <w:iCs/>
          <w:spacing w:val="-4"/>
          <w:w w:val="125"/>
          <w:sz w:val="20"/>
          <w:szCs w:val="20"/>
          <w:vertAlign w:val="superscript"/>
        </w:rPr>
        <w:t>j</w:t>
      </w:r>
      <w:r>
        <w:rPr>
          <w:rFonts w:ascii="Calibri" w:hAnsi="Calibri" w:cs="Calibri" w:eastAsia="Calibri"/>
          <w:spacing w:val="-4"/>
          <w:w w:val="125"/>
          <w:sz w:val="20"/>
          <w:szCs w:val="20"/>
          <w:vertAlign w:val="superscript"/>
        </w:rPr>
        <w:t>)</w:t>
      </w:r>
      <w:r>
        <w:rPr>
          <w:rFonts w:ascii="Lucida Sans Unicode" w:hAnsi="Lucida Sans Unicode" w:cs="Lucida Sans Unicode" w:eastAsia="Lucida Sans Unicode"/>
          <w:position w:val="16"/>
          <w:sz w:val="20"/>
          <w:szCs w:val="20"/>
          <w:vertAlign w:val="baseline"/>
        </w:rPr>
        <w:tab/>
      </w:r>
      <w:r>
        <w:rPr>
          <w:spacing w:val="-5"/>
          <w:w w:val="120"/>
          <w:sz w:val="20"/>
          <w:szCs w:val="20"/>
          <w:vertAlign w:val="baseline"/>
        </w:rPr>
        <w:t>(8)</w:t>
      </w:r>
    </w:p>
    <w:p>
      <w:pPr>
        <w:pStyle w:val="BodyText"/>
        <w:spacing w:line="208" w:lineRule="auto" w:before="185"/>
        <w:ind w:left="259" w:right="5517"/>
        <w:jc w:val="both"/>
      </w:pPr>
      <w:r>
        <w:rPr/>
        <w:t>The top-</w:t>
      </w:r>
      <w:r>
        <w:rPr>
          <w:rFonts w:ascii="Calibri" w:hAnsi="Calibri" w:cs="Calibri" w:eastAsia="Calibri"/>
          <w:i/>
          <w:iCs/>
        </w:rPr>
        <w:t>k </w:t>
      </w:r>
      <w:r>
        <w:rPr/>
        <w:t>features ranked by </w:t>
      </w:r>
      <w:r>
        <w:rPr>
          <w:rFonts w:ascii="Lucida Sans Unicode" w:hAnsi="Lucida Sans Unicode" w:cs="Lucida Sans Unicode" w:eastAsia="Lucida Sans Unicode"/>
        </w:rPr>
        <w:t>|</w:t>
      </w:r>
      <w:r>
        <w:rPr>
          <w:rFonts w:ascii="Calibri" w:hAnsi="Calibri" w:cs="Calibri" w:eastAsia="Calibri"/>
          <w:i/>
          <w:iCs/>
        </w:rPr>
        <w:t>ϕ</w:t>
      </w:r>
      <w:r>
        <w:rPr>
          <w:rFonts w:ascii="Calibri" w:hAnsi="Calibri" w:cs="Calibri" w:eastAsia="Calibri"/>
          <w:vertAlign w:val="superscript"/>
        </w:rPr>
        <w:t>(</w:t>
      </w:r>
      <w:r>
        <w:rPr>
          <w:rFonts w:ascii="Calibri" w:hAnsi="Calibri" w:cs="Calibri" w:eastAsia="Calibri"/>
          <w:i/>
          <w:iCs/>
          <w:vertAlign w:val="superscript"/>
        </w:rPr>
        <w:t>i</w:t>
      </w:r>
      <w:r>
        <w:rPr>
          <w:rFonts w:ascii="Calibri" w:hAnsi="Calibri" w:cs="Calibri" w:eastAsia="Calibri"/>
          <w:vertAlign w:val="superscript"/>
        </w:rPr>
        <w:t>)</w:t>
      </w:r>
      <w:r>
        <w:rPr>
          <w:rFonts w:ascii="Lucida Sans Unicode" w:hAnsi="Lucida Sans Unicode" w:cs="Lucida Sans Unicode" w:eastAsia="Lucida Sans Unicode"/>
          <w:vertAlign w:val="baseline"/>
        </w:rPr>
        <w:t>| </w:t>
      </w:r>
      <w:r>
        <w:rPr>
          <w:vertAlign w:val="baseline"/>
        </w:rPr>
        <w:t>are presented to </w:t>
      </w:r>
      <w:r>
        <w:rPr>
          <w:vertAlign w:val="baseline"/>
        </w:rPr>
        <w:t>the operator</w:t>
      </w:r>
      <w:r>
        <w:rPr>
          <w:spacing w:val="42"/>
          <w:vertAlign w:val="baseline"/>
        </w:rPr>
        <w:t> </w:t>
      </w:r>
      <w:r>
        <w:rPr>
          <w:vertAlign w:val="baseline"/>
        </w:rPr>
        <w:t>in</w:t>
      </w:r>
      <w:r>
        <w:rPr>
          <w:spacing w:val="42"/>
          <w:vertAlign w:val="baseline"/>
        </w:rPr>
        <w:t> </w:t>
      </w:r>
      <w:r>
        <w:rPr>
          <w:vertAlign w:val="baseline"/>
        </w:rPr>
        <w:t>the</w:t>
      </w:r>
      <w:r>
        <w:rPr>
          <w:spacing w:val="42"/>
          <w:vertAlign w:val="baseline"/>
        </w:rPr>
        <w:t> </w:t>
      </w:r>
      <w:r>
        <w:rPr>
          <w:vertAlign w:val="baseline"/>
        </w:rPr>
        <w:t>decision</w:t>
      </w:r>
      <w:r>
        <w:rPr>
          <w:spacing w:val="42"/>
          <w:vertAlign w:val="baseline"/>
        </w:rPr>
        <w:t> </w:t>
      </w:r>
      <w:r>
        <w:rPr>
          <w:vertAlign w:val="baseline"/>
        </w:rPr>
        <w:t>explainability</w:t>
      </w:r>
      <w:r>
        <w:rPr>
          <w:spacing w:val="42"/>
          <w:vertAlign w:val="baseline"/>
        </w:rPr>
        <w:t> </w:t>
      </w:r>
      <w:r>
        <w:rPr>
          <w:vertAlign w:val="baseline"/>
        </w:rPr>
        <w:t>dashboard</w:t>
      </w:r>
      <w:r>
        <w:rPr>
          <w:spacing w:val="42"/>
          <w:vertAlign w:val="baseline"/>
        </w:rPr>
        <w:t> </w:t>
      </w:r>
      <w:r>
        <w:rPr>
          <w:vertAlign w:val="baseline"/>
        </w:rPr>
        <w:t>view,</w:t>
      </w:r>
      <w:r>
        <w:rPr>
          <w:spacing w:val="43"/>
          <w:vertAlign w:val="baseline"/>
        </w:rPr>
        <w:t> </w:t>
      </w:r>
      <w:r>
        <w:rPr>
          <w:spacing w:val="-5"/>
          <w:vertAlign w:val="baseline"/>
        </w:rPr>
        <w:t>en-</w:t>
      </w:r>
    </w:p>
    <w:p>
      <w:pPr>
        <w:pStyle w:val="BodyText"/>
        <w:spacing w:line="249" w:lineRule="auto" w:before="15"/>
        <w:ind w:left="259" w:right="551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04512">
                <wp:simplePos x="0" y="0"/>
                <wp:positionH relativeFrom="page">
                  <wp:posOffset>2455443</wp:posOffset>
                </wp:positionH>
                <wp:positionV relativeFrom="paragraph">
                  <wp:posOffset>-206470</wp:posOffset>
                </wp:positionV>
                <wp:extent cx="41910" cy="8890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4191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95"/>
                                <w:sz w:val="14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3.341995pt;margin-top:-16.257553pt;width:3.3pt;height:7pt;mso-position-horizontal-relative:page;mso-position-vertical-relative:paragraph;z-index:-16211968" type="#_x0000_t202" id="docshape30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95"/>
                          <w:sz w:val="14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abling inspection of which measurement dimensions drove </w:t>
      </w:r>
      <w:r>
        <w:rPr/>
        <w:t>a given escalation decision without requiring expertise in the underlying model architecture.</w:t>
      </w:r>
    </w:p>
    <w:p>
      <w:pPr>
        <w:pStyle w:val="BodyText"/>
        <w:spacing w:before="7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2240" w:h="15840"/>
          <w:pgMar w:top="920" w:bottom="280" w:left="720" w:right="720"/>
        </w:sectPr>
      </w:pPr>
    </w:p>
    <w:p>
      <w:pPr>
        <w:pStyle w:val="ListParagraph"/>
        <w:numPr>
          <w:ilvl w:val="0"/>
          <w:numId w:val="4"/>
        </w:numPr>
        <w:tabs>
          <w:tab w:pos="529" w:val="left" w:leader="none"/>
        </w:tabs>
        <w:spacing w:line="240" w:lineRule="auto" w:before="98" w:after="0"/>
        <w:ind w:left="529" w:right="0" w:hanging="270"/>
        <w:jc w:val="left"/>
        <w:rPr>
          <w:i/>
          <w:sz w:val="20"/>
        </w:rPr>
      </w:pPr>
      <w:r>
        <w:rPr>
          <w:i/>
          <w:sz w:val="20"/>
        </w:rPr>
        <w:t>SCADA</w:t>
      </w:r>
      <w:r>
        <w:rPr>
          <w:i/>
          <w:spacing w:val="5"/>
          <w:sz w:val="20"/>
        </w:rPr>
        <w:t> </w:t>
      </w:r>
      <w:r>
        <w:rPr>
          <w:i/>
          <w:spacing w:val="-2"/>
          <w:sz w:val="20"/>
        </w:rPr>
        <w:t>Integration</w:t>
      </w:r>
    </w:p>
    <w:p>
      <w:pPr>
        <w:pStyle w:val="BodyText"/>
        <w:spacing w:line="249" w:lineRule="auto" w:before="126"/>
        <w:ind w:left="259" w:firstLine="199"/>
        <w:jc w:val="both"/>
      </w:pPr>
      <w:r>
        <w:rPr/>
        <w:t>The live deployment covers 100 agents: generators </w:t>
      </w:r>
      <w:r>
        <w:rPr/>
        <w:t>(GEN-01</w:t>
      </w:r>
      <w:r>
        <w:rPr>
          <w:spacing w:val="40"/>
        </w:rPr>
        <w:t> </w:t>
      </w:r>
      <w:r>
        <w:rPr/>
        <w:t>through</w:t>
      </w:r>
      <w:r>
        <w:rPr>
          <w:spacing w:val="40"/>
        </w:rPr>
        <w:t> </w:t>
      </w:r>
      <w:r>
        <w:rPr/>
        <w:t>GEN-20),</w:t>
      </w:r>
      <w:r>
        <w:rPr>
          <w:spacing w:val="40"/>
        </w:rPr>
        <w:t> </w:t>
      </w:r>
      <w:r>
        <w:rPr/>
        <w:t>substations</w:t>
      </w:r>
      <w:r>
        <w:rPr>
          <w:spacing w:val="40"/>
        </w:rPr>
        <w:t> </w:t>
      </w:r>
      <w:r>
        <w:rPr/>
        <w:t>(SUB-21</w:t>
      </w:r>
      <w:r>
        <w:rPr>
          <w:spacing w:val="40"/>
        </w:rPr>
        <w:t> </w:t>
      </w:r>
      <w:r>
        <w:rPr/>
        <w:t>through</w:t>
      </w:r>
      <w:r>
        <w:rPr>
          <w:spacing w:val="40"/>
        </w:rPr>
        <w:t> </w:t>
      </w:r>
      <w:r>
        <w:rPr/>
        <w:t>SUB-50), PMUs (PMU-51 through PMU-75), and circuit breakers (BRK-76 through BRK-100). Each agent is represented by three calculated channels in Rapid SCADA, yielding 300 active channels. A PowerShell bridge polls the SCADA Web API, retrieves all 300 channel values, formats a 100-agent JSON batch payload, and forwards it to the FastAPI backend for pipeline processing.</w:t>
      </w:r>
    </w:p>
    <w:p>
      <w:pPr>
        <w:pStyle w:val="BodyText"/>
        <w:spacing w:before="35"/>
      </w:pPr>
    </w:p>
    <w:p>
      <w:pPr>
        <w:pStyle w:val="ListParagraph"/>
        <w:numPr>
          <w:ilvl w:val="0"/>
          <w:numId w:val="1"/>
        </w:numPr>
        <w:tabs>
          <w:tab w:pos="2162" w:val="left" w:leader="none"/>
        </w:tabs>
        <w:spacing w:line="240" w:lineRule="auto" w:before="0" w:after="0"/>
        <w:ind w:left="2162" w:right="0" w:hanging="342"/>
        <w:jc w:val="left"/>
        <w:rPr>
          <w:sz w:val="20"/>
        </w:rPr>
      </w:pPr>
      <w:r>
        <w:rPr>
          <w:smallCaps/>
          <w:spacing w:val="-2"/>
          <w:sz w:val="20"/>
        </w:rPr>
        <w:t>Implementation</w:t>
      </w:r>
    </w:p>
    <w:p>
      <w:pPr>
        <w:pStyle w:val="ListParagraph"/>
        <w:numPr>
          <w:ilvl w:val="0"/>
          <w:numId w:val="7"/>
        </w:numPr>
        <w:tabs>
          <w:tab w:pos="529" w:val="left" w:leader="none"/>
        </w:tabs>
        <w:spacing w:line="240" w:lineRule="auto" w:before="164" w:after="0"/>
        <w:ind w:left="529" w:right="0" w:hanging="270"/>
        <w:jc w:val="left"/>
        <w:rPr>
          <w:i/>
          <w:sz w:val="20"/>
        </w:rPr>
      </w:pPr>
      <w:r>
        <w:rPr>
          <w:i/>
          <w:spacing w:val="-2"/>
          <w:sz w:val="20"/>
        </w:rPr>
        <w:t>Technology</w:t>
      </w:r>
      <w:r>
        <w:rPr>
          <w:i/>
          <w:spacing w:val="5"/>
          <w:sz w:val="20"/>
        </w:rPr>
        <w:t> </w:t>
      </w:r>
      <w:r>
        <w:rPr>
          <w:i/>
          <w:spacing w:val="-2"/>
          <w:sz w:val="20"/>
        </w:rPr>
        <w:t>Stack</w:t>
      </w:r>
    </w:p>
    <w:p>
      <w:pPr>
        <w:pStyle w:val="BodyText"/>
        <w:spacing w:line="249" w:lineRule="auto" w:before="126"/>
        <w:ind w:left="259" w:firstLine="199"/>
        <w:jc w:val="both"/>
      </w:pPr>
      <w:r>
        <w:rPr/>
        <w:t>The backend is implemented in Python 3.11 using </w:t>
      </w:r>
      <w:r>
        <w:rPr/>
        <w:t>FastAPI for the REST API layer, PyTorch for the LSTM model, NumPy and SciPy for statistical computations, and SQLite</w:t>
      </w:r>
      <w:r>
        <w:rPr>
          <w:spacing w:val="80"/>
        </w:rPr>
        <w:t> </w:t>
      </w:r>
      <w:r>
        <w:rPr/>
        <w:t>for</w:t>
      </w:r>
      <w:r>
        <w:rPr>
          <w:spacing w:val="-6"/>
        </w:rPr>
        <w:t> </w:t>
      </w:r>
      <w:r>
        <w:rPr/>
        <w:t>persistent</w:t>
      </w:r>
      <w:r>
        <w:rPr>
          <w:spacing w:val="-6"/>
        </w:rPr>
        <w:t> </w:t>
      </w:r>
      <w:r>
        <w:rPr/>
        <w:t>audit</w:t>
      </w:r>
      <w:r>
        <w:rPr>
          <w:spacing w:val="-6"/>
        </w:rPr>
        <w:t> </w:t>
      </w:r>
      <w:r>
        <w:rPr/>
        <w:t>chain</w:t>
      </w:r>
      <w:r>
        <w:rPr>
          <w:spacing w:val="-6"/>
        </w:rPr>
        <w:t> </w:t>
      </w:r>
      <w:r>
        <w:rPr/>
        <w:t>storage.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frontend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implemented in TypeScript using Next.js 14 with React, Recharts for data visualisation, and Tailwind CSS for the component layout.</w:t>
      </w:r>
      <w:r>
        <w:rPr>
          <w:spacing w:val="40"/>
        </w:rPr>
        <w:t> </w:t>
      </w:r>
      <w:r>
        <w:rPr/>
        <w:t>The LSTM model consists of two parallel branches: the short-window</w:t>
      </w:r>
      <w:r>
        <w:rPr>
          <w:spacing w:val="-4"/>
        </w:rPr>
        <w:t> </w:t>
      </w:r>
      <w:r>
        <w:rPr/>
        <w:t>branch</w:t>
      </w:r>
      <w:r>
        <w:rPr>
          <w:spacing w:val="-4"/>
        </w:rPr>
        <w:t> </w:t>
      </w:r>
      <w:r>
        <w:rPr/>
        <w:t>uses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two-layer</w:t>
      </w:r>
      <w:r>
        <w:rPr>
          <w:spacing w:val="-4"/>
        </w:rPr>
        <w:t> </w:t>
      </w:r>
      <w:r>
        <w:rPr/>
        <w:t>LSTM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64</w:t>
      </w:r>
      <w:r>
        <w:rPr>
          <w:spacing w:val="-4"/>
        </w:rPr>
        <w:t> </w:t>
      </w:r>
      <w:r>
        <w:rPr/>
        <w:t>units</w:t>
      </w:r>
      <w:r>
        <w:rPr>
          <w:spacing w:val="-4"/>
        </w:rPr>
        <w:t> </w:t>
      </w:r>
      <w:r>
        <w:rPr/>
        <w:t>per</w:t>
      </w:r>
      <w:r>
        <w:rPr>
          <w:spacing w:val="-4"/>
        </w:rPr>
        <w:t> </w:t>
      </w:r>
      <w:r>
        <w:rPr/>
        <w:t>layer and a window of 10 time steps; the long-window branch uses</w:t>
      </w:r>
      <w:r>
        <w:rPr>
          <w:spacing w:val="40"/>
        </w:rPr>
        <w:t> </w:t>
      </w:r>
      <w:r>
        <w:rPr/>
        <w:t>a two-layer LSTM with 128 units per layer and a window of 30 time steps.</w:t>
      </w:r>
    </w:p>
    <w:p>
      <w:pPr>
        <w:pStyle w:val="BodyText"/>
        <w:spacing w:before="35"/>
      </w:pPr>
    </w:p>
    <w:p>
      <w:pPr>
        <w:pStyle w:val="ListParagraph"/>
        <w:numPr>
          <w:ilvl w:val="0"/>
          <w:numId w:val="7"/>
        </w:numPr>
        <w:tabs>
          <w:tab w:pos="529" w:val="left" w:leader="none"/>
        </w:tabs>
        <w:spacing w:line="240" w:lineRule="auto" w:before="0" w:after="0"/>
        <w:ind w:left="529" w:right="0" w:hanging="270"/>
        <w:jc w:val="left"/>
        <w:rPr>
          <w:i/>
          <w:sz w:val="20"/>
        </w:rPr>
      </w:pPr>
      <w:r>
        <w:rPr>
          <w:i/>
          <w:sz w:val="20"/>
        </w:rPr>
        <w:t>Operational</w:t>
      </w:r>
      <w:r>
        <w:rPr>
          <w:i/>
          <w:spacing w:val="6"/>
          <w:sz w:val="20"/>
        </w:rPr>
        <w:t> </w:t>
      </w:r>
      <w:r>
        <w:rPr>
          <w:i/>
          <w:spacing w:val="-2"/>
          <w:sz w:val="20"/>
        </w:rPr>
        <w:t>Dashboard</w:t>
      </w:r>
    </w:p>
    <w:p>
      <w:pPr>
        <w:pStyle w:val="BodyText"/>
        <w:spacing w:line="249" w:lineRule="auto" w:before="126"/>
        <w:ind w:left="259" w:firstLine="199"/>
        <w:jc w:val="both"/>
      </w:pPr>
      <w:r>
        <w:rPr/>
        <w:t>The dashboard provides eight distinct views. The </w:t>
      </w:r>
      <w:r>
        <w:rPr>
          <w:i/>
        </w:rPr>
        <w:t>Opera-tions</w:t>
      </w:r>
      <w:r>
        <w:rPr>
          <w:i/>
          <w:spacing w:val="-10"/>
        </w:rPr>
        <w:t> </w:t>
      </w:r>
      <w:r>
        <w:rPr>
          <w:i/>
        </w:rPr>
        <w:t>Overview</w:t>
      </w:r>
      <w:r>
        <w:rPr>
          <w:i/>
          <w:spacing w:val="-10"/>
        </w:rPr>
        <w:t> </w:t>
      </w:r>
      <w:r>
        <w:rPr/>
        <w:t>(Fig.</w:t>
      </w:r>
      <w:r>
        <w:rPr>
          <w:spacing w:val="-10"/>
        </w:rPr>
        <w:t> </w:t>
      </w:r>
      <w:r>
        <w:rPr/>
        <w:t>4)</w:t>
      </w:r>
      <w:r>
        <w:rPr>
          <w:spacing w:val="-10"/>
        </w:rPr>
        <w:t> </w:t>
      </w:r>
      <w:r>
        <w:rPr/>
        <w:t>presents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grid-level</w:t>
      </w:r>
      <w:r>
        <w:rPr>
          <w:spacing w:val="-10"/>
        </w:rPr>
        <w:t> </w:t>
      </w:r>
      <w:r>
        <w:rPr/>
        <w:t>summary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active agents, current anomaly counts, audit actions, and system throughput.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>
          <w:i/>
        </w:rPr>
        <w:t>Decision</w:t>
      </w:r>
      <w:r>
        <w:rPr>
          <w:i/>
          <w:spacing w:val="-7"/>
        </w:rPr>
        <w:t> </w:t>
      </w:r>
      <w:r>
        <w:rPr>
          <w:i/>
        </w:rPr>
        <w:t>Explainability</w:t>
      </w:r>
      <w:r>
        <w:rPr>
          <w:i/>
          <w:spacing w:val="-7"/>
        </w:rPr>
        <w:t> </w:t>
      </w:r>
      <w:r>
        <w:rPr/>
        <w:t>view</w:t>
      </w:r>
      <w:r>
        <w:rPr>
          <w:spacing w:val="-7"/>
        </w:rPr>
        <w:t> </w:t>
      </w:r>
      <w:r>
        <w:rPr/>
        <w:t>(Fig.</w:t>
      </w:r>
      <w:r>
        <w:rPr>
          <w:spacing w:val="-7"/>
        </w:rPr>
        <w:t> </w:t>
      </w:r>
      <w:r>
        <w:rPr/>
        <w:t>5)</w:t>
      </w:r>
      <w:r>
        <w:rPr>
          <w:spacing w:val="-7"/>
        </w:rPr>
        <w:t> </w:t>
      </w:r>
      <w:r>
        <w:rPr/>
        <w:t>presents per-feature</w:t>
      </w:r>
      <w:r>
        <w:rPr>
          <w:spacing w:val="-12"/>
        </w:rPr>
        <w:t> </w:t>
      </w:r>
      <w:r>
        <w:rPr/>
        <w:t>attribution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each</w:t>
      </w:r>
      <w:r>
        <w:rPr>
          <w:spacing w:val="-12"/>
        </w:rPr>
        <w:t> </w:t>
      </w:r>
      <w:r>
        <w:rPr/>
        <w:t>flagged</w:t>
      </w:r>
      <w:r>
        <w:rPr>
          <w:spacing w:val="-12"/>
        </w:rPr>
        <w:t> </w:t>
      </w:r>
      <w:r>
        <w:rPr/>
        <w:t>agent.</w:t>
      </w:r>
      <w:r>
        <w:rPr>
          <w:spacing w:val="-12"/>
        </w:rPr>
        <w:t> </w:t>
      </w:r>
      <w:r>
        <w:rPr/>
        <w:t>Additional</w:t>
      </w:r>
      <w:r>
        <w:rPr>
          <w:spacing w:val="-12"/>
        </w:rPr>
        <w:t> </w:t>
      </w:r>
      <w:r>
        <w:rPr/>
        <w:t>views cover agent monitoring with time-series plots, an audit trail log, risk analytics with score aggregation by agent type, threat event listings from the multi-detector module, system health monitoring, and an asset topology graph.</w:t>
      </w:r>
    </w:p>
    <w:p>
      <w:pPr>
        <w:pStyle w:val="BodyTex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10"/>
        <w:rPr>
          <w:sz w:val="16"/>
        </w:rPr>
      </w:pPr>
    </w:p>
    <w:p>
      <w:pPr>
        <w:spacing w:line="232" w:lineRule="auto" w:before="0"/>
        <w:ind w:left="199" w:right="257" w:firstLine="0"/>
        <w:jc w:val="both"/>
        <w:rPr>
          <w:sz w:val="16"/>
        </w:rPr>
      </w:pPr>
      <w:r>
        <w:rPr>
          <w:sz w:val="16"/>
        </w:rPr>
        <w:t>Fig. 4.</w:t>
      </w:r>
      <w:r>
        <w:rPr>
          <w:spacing w:val="40"/>
          <w:sz w:val="16"/>
        </w:rPr>
        <w:t> </w:t>
      </w:r>
      <w:r>
        <w:rPr>
          <w:sz w:val="16"/>
        </w:rPr>
        <w:t>Experiment workspace operations overview displaying per-</w:t>
      </w:r>
      <w:r>
        <w:rPr>
          <w:sz w:val="16"/>
        </w:rPr>
        <w:t>agent</w:t>
      </w:r>
      <w:r>
        <w:rPr>
          <w:spacing w:val="40"/>
          <w:sz w:val="16"/>
        </w:rPr>
        <w:t> </w:t>
      </w:r>
      <w:r>
        <w:rPr>
          <w:sz w:val="16"/>
        </w:rPr>
        <w:t>anomaly</w:t>
      </w:r>
      <w:r>
        <w:rPr>
          <w:spacing w:val="-4"/>
          <w:sz w:val="16"/>
        </w:rPr>
        <w:t> </w:t>
      </w:r>
      <w:r>
        <w:rPr>
          <w:sz w:val="16"/>
        </w:rPr>
        <w:t>scores,</w:t>
      </w:r>
      <w:r>
        <w:rPr>
          <w:spacing w:val="-4"/>
          <w:sz w:val="16"/>
        </w:rPr>
        <w:t> </w:t>
      </w:r>
      <w:r>
        <w:rPr>
          <w:sz w:val="16"/>
        </w:rPr>
        <w:t>audit</w:t>
      </w:r>
      <w:r>
        <w:rPr>
          <w:spacing w:val="-4"/>
          <w:sz w:val="16"/>
        </w:rPr>
        <w:t> </w:t>
      </w:r>
      <w:r>
        <w:rPr>
          <w:sz w:val="16"/>
        </w:rPr>
        <w:t>escalation</w:t>
      </w:r>
      <w:r>
        <w:rPr>
          <w:spacing w:val="-4"/>
          <w:sz w:val="16"/>
        </w:rPr>
        <w:t> </w:t>
      </w:r>
      <w:r>
        <w:rPr>
          <w:sz w:val="16"/>
        </w:rPr>
        <w:t>states,</w:t>
      </w:r>
      <w:r>
        <w:rPr>
          <w:spacing w:val="-4"/>
          <w:sz w:val="16"/>
        </w:rPr>
        <w:t> </w:t>
      </w:r>
      <w:r>
        <w:rPr>
          <w:sz w:val="16"/>
        </w:rPr>
        <w:t>active</w:t>
      </w:r>
      <w:r>
        <w:rPr>
          <w:spacing w:val="-4"/>
          <w:sz w:val="16"/>
        </w:rPr>
        <w:t> </w:t>
      </w:r>
      <w:r>
        <w:rPr>
          <w:sz w:val="16"/>
        </w:rPr>
        <w:t>threat</w:t>
      </w:r>
      <w:r>
        <w:rPr>
          <w:spacing w:val="-4"/>
          <w:sz w:val="16"/>
        </w:rPr>
        <w:t> </w:t>
      </w:r>
      <w:r>
        <w:rPr>
          <w:sz w:val="16"/>
        </w:rPr>
        <w:t>counts,</w:t>
      </w:r>
      <w:r>
        <w:rPr>
          <w:spacing w:val="-4"/>
          <w:sz w:val="16"/>
        </w:rPr>
        <w:t> </w:t>
      </w:r>
      <w:r>
        <w:rPr>
          <w:sz w:val="16"/>
        </w:rPr>
        <w:t>and</w:t>
      </w:r>
      <w:r>
        <w:rPr>
          <w:spacing w:val="-4"/>
          <w:sz w:val="16"/>
        </w:rPr>
        <w:t> </w:t>
      </w:r>
      <w:r>
        <w:rPr>
          <w:sz w:val="16"/>
        </w:rPr>
        <w:t>system</w:t>
      </w:r>
      <w:r>
        <w:rPr>
          <w:spacing w:val="-4"/>
          <w:sz w:val="16"/>
        </w:rPr>
        <w:t> </w:t>
      </w:r>
      <w:r>
        <w:rPr>
          <w:sz w:val="16"/>
        </w:rPr>
        <w:t>health</w:t>
      </w:r>
      <w:r>
        <w:rPr>
          <w:spacing w:val="40"/>
          <w:sz w:val="16"/>
        </w:rPr>
        <w:t> </w:t>
      </w:r>
      <w:r>
        <w:rPr>
          <w:sz w:val="16"/>
        </w:rPr>
        <w:t>across all 100 agents.</w:t>
      </w:r>
    </w:p>
    <w:p>
      <w:pPr>
        <w:pStyle w:val="BodyText"/>
        <w:spacing w:before="43"/>
      </w:pPr>
      <w:r>
        <w:rPr/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3962120</wp:posOffset>
            </wp:positionH>
            <wp:positionV relativeFrom="paragraph">
              <wp:posOffset>189006</wp:posOffset>
            </wp:positionV>
            <wp:extent cx="3174682" cy="1106424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682" cy="1106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7"/>
        <w:rPr>
          <w:sz w:val="16"/>
        </w:rPr>
      </w:pPr>
    </w:p>
    <w:p>
      <w:pPr>
        <w:spacing w:line="232" w:lineRule="auto" w:before="0"/>
        <w:ind w:left="199" w:right="257" w:firstLine="0"/>
        <w:jc w:val="both"/>
        <w:rPr>
          <w:sz w:val="16"/>
        </w:rPr>
      </w:pPr>
      <w:r>
        <w:rPr>
          <w:sz w:val="16"/>
        </w:rPr>
        <w:t>Fig.</w:t>
      </w:r>
      <w:r>
        <w:rPr>
          <w:spacing w:val="-10"/>
          <w:sz w:val="16"/>
        </w:rPr>
        <w:t> </w:t>
      </w:r>
      <w:r>
        <w:rPr>
          <w:sz w:val="16"/>
        </w:rPr>
        <w:t>5.</w:t>
      </w:r>
      <w:r>
        <w:rPr>
          <w:spacing w:val="20"/>
          <w:sz w:val="16"/>
        </w:rPr>
        <w:t> </w:t>
      </w:r>
      <w:r>
        <w:rPr>
          <w:sz w:val="16"/>
        </w:rPr>
        <w:t>Decision</w:t>
      </w:r>
      <w:r>
        <w:rPr>
          <w:spacing w:val="-10"/>
          <w:sz w:val="16"/>
        </w:rPr>
        <w:t> </w:t>
      </w:r>
      <w:r>
        <w:rPr>
          <w:sz w:val="16"/>
        </w:rPr>
        <w:t>explainability</w:t>
      </w:r>
      <w:r>
        <w:rPr>
          <w:spacing w:val="-10"/>
          <w:sz w:val="16"/>
        </w:rPr>
        <w:t> </w:t>
      </w:r>
      <w:r>
        <w:rPr>
          <w:sz w:val="16"/>
        </w:rPr>
        <w:t>view</w:t>
      </w:r>
      <w:r>
        <w:rPr>
          <w:spacing w:val="-10"/>
          <w:sz w:val="16"/>
        </w:rPr>
        <w:t> </w:t>
      </w:r>
      <w:r>
        <w:rPr>
          <w:sz w:val="16"/>
        </w:rPr>
        <w:t>showing</w:t>
      </w:r>
      <w:r>
        <w:rPr>
          <w:spacing w:val="-10"/>
          <w:sz w:val="16"/>
        </w:rPr>
        <w:t> </w:t>
      </w:r>
      <w:r>
        <w:rPr>
          <w:sz w:val="16"/>
        </w:rPr>
        <w:t>per-feature</w:t>
      </w:r>
      <w:r>
        <w:rPr>
          <w:spacing w:val="-10"/>
          <w:sz w:val="16"/>
        </w:rPr>
        <w:t> </w:t>
      </w:r>
      <w:r>
        <w:rPr>
          <w:sz w:val="16"/>
        </w:rPr>
        <w:t>contribution</w:t>
      </w:r>
      <w:r>
        <w:rPr>
          <w:spacing w:val="-10"/>
          <w:sz w:val="16"/>
        </w:rPr>
        <w:t> </w:t>
      </w:r>
      <w:r>
        <w:rPr>
          <w:sz w:val="16"/>
        </w:rPr>
        <w:t>rankings</w:t>
      </w:r>
      <w:r>
        <w:rPr>
          <w:spacing w:val="40"/>
          <w:sz w:val="16"/>
        </w:rPr>
        <w:t> </w:t>
      </w:r>
      <w:r>
        <w:rPr>
          <w:sz w:val="16"/>
        </w:rPr>
        <w:t>for a flagged agent. The operator can inspect which measurement dimensions</w:t>
      </w:r>
      <w:r>
        <w:rPr>
          <w:spacing w:val="40"/>
          <w:sz w:val="16"/>
        </w:rPr>
        <w:t> </w:t>
      </w:r>
      <w:r>
        <w:rPr>
          <w:sz w:val="16"/>
        </w:rPr>
        <w:t>drove the escalation decision.</w:t>
      </w:r>
    </w:p>
    <w:p>
      <w:pPr>
        <w:pStyle w:val="BodyText"/>
        <w:rPr>
          <w:sz w:val="16"/>
        </w:rPr>
      </w:pPr>
    </w:p>
    <w:p>
      <w:pPr>
        <w:pStyle w:val="BodyText"/>
        <w:spacing w:before="45"/>
        <w:rPr>
          <w:sz w:val="16"/>
        </w:rPr>
      </w:pPr>
    </w:p>
    <w:p>
      <w:pPr>
        <w:pStyle w:val="ListParagraph"/>
        <w:numPr>
          <w:ilvl w:val="0"/>
          <w:numId w:val="7"/>
        </w:numPr>
        <w:tabs>
          <w:tab w:pos="480" w:val="left" w:leader="none"/>
        </w:tabs>
        <w:spacing w:line="240" w:lineRule="auto" w:before="0" w:after="0"/>
        <w:ind w:left="480" w:right="0" w:hanging="281"/>
        <w:jc w:val="both"/>
        <w:rPr>
          <w:i/>
          <w:sz w:val="20"/>
        </w:rPr>
      </w:pPr>
      <w:r>
        <w:rPr>
          <w:i/>
          <w:sz w:val="20"/>
        </w:rPr>
        <w:t>Dual</w:t>
      </w:r>
      <w:r>
        <w:rPr>
          <w:i/>
          <w:spacing w:val="3"/>
          <w:sz w:val="20"/>
        </w:rPr>
        <w:t> </w:t>
      </w:r>
      <w:r>
        <w:rPr>
          <w:i/>
          <w:sz w:val="20"/>
        </w:rPr>
        <w:t>Workspace</w:t>
      </w:r>
      <w:r>
        <w:rPr>
          <w:i/>
          <w:spacing w:val="3"/>
          <w:sz w:val="20"/>
        </w:rPr>
        <w:t> </w:t>
      </w:r>
      <w:r>
        <w:rPr>
          <w:i/>
          <w:spacing w:val="-2"/>
          <w:sz w:val="20"/>
        </w:rPr>
        <w:t>Architecture</w:t>
      </w:r>
    </w:p>
    <w:p>
      <w:pPr>
        <w:pStyle w:val="BodyText"/>
        <w:spacing w:line="249" w:lineRule="auto" w:before="98"/>
        <w:ind w:left="199" w:right="257" w:firstLine="199"/>
        <w:jc w:val="both"/>
      </w:pPr>
      <w:r>
        <w:rPr/>
        <w:t>The framework provides two independent workspaces </w:t>
      </w:r>
      <w:r>
        <w:rPr/>
        <w:t>that share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-2"/>
        </w:rPr>
        <w:t> </w:t>
      </w:r>
      <w:r>
        <w:rPr/>
        <w:t>detection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scheduling</w:t>
      </w:r>
      <w:r>
        <w:rPr>
          <w:spacing w:val="-2"/>
        </w:rPr>
        <w:t> </w:t>
      </w:r>
      <w:r>
        <w:rPr/>
        <w:t>code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operate</w:t>
      </w:r>
      <w:r>
        <w:rPr>
          <w:spacing w:val="-2"/>
        </w:rPr>
        <w:t> </w:t>
      </w:r>
      <w:r>
        <w:rPr/>
        <w:t>with separate</w:t>
      </w:r>
      <w:r>
        <w:rPr>
          <w:spacing w:val="-7"/>
        </w:rPr>
        <w:t> </w:t>
      </w:r>
      <w:r>
        <w:rPr/>
        <w:t>configuration,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sources,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dashboard</w:t>
      </w:r>
      <w:r>
        <w:rPr>
          <w:spacing w:val="-7"/>
        </w:rPr>
        <w:t> </w:t>
      </w:r>
      <w:r>
        <w:rPr/>
        <w:t>states.</w:t>
      </w:r>
      <w:r>
        <w:rPr>
          <w:spacing w:val="-7"/>
        </w:rPr>
        <w:t> </w:t>
      </w:r>
      <w:r>
        <w:rPr/>
        <w:t>The </w:t>
      </w:r>
      <w:r>
        <w:rPr>
          <w:i/>
        </w:rPr>
        <w:t>Experiment Running </w:t>
      </w:r>
      <w:r>
        <w:rPr/>
        <w:t>workspace enables controlled simulation and benchmarking, while the </w:t>
      </w:r>
      <w:r>
        <w:rPr>
          <w:i/>
        </w:rPr>
        <w:t>Rapid SCADA Live </w:t>
      </w:r>
      <w:r>
        <w:rPr/>
        <w:t>workspace connects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live</w:t>
      </w:r>
      <w:r>
        <w:rPr>
          <w:spacing w:val="-1"/>
        </w:rPr>
        <w:t> </w:t>
      </w:r>
      <w:r>
        <w:rPr/>
        <w:t>supervisory</w:t>
      </w:r>
      <w:r>
        <w:rPr>
          <w:spacing w:val="-1"/>
        </w:rPr>
        <w:t> </w:t>
      </w:r>
      <w:r>
        <w:rPr/>
        <w:t>infrastructure.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separation ensures that experimental evaluation does not interfere with operational monitoring and vice versa.</w:t>
      </w:r>
    </w:p>
    <w:p>
      <w:pPr>
        <w:pStyle w:val="ListParagraph"/>
        <w:numPr>
          <w:ilvl w:val="0"/>
          <w:numId w:val="1"/>
        </w:numPr>
        <w:tabs>
          <w:tab w:pos="1580" w:val="left" w:leader="none"/>
        </w:tabs>
        <w:spacing w:line="240" w:lineRule="auto" w:before="196" w:after="0"/>
        <w:ind w:left="1580" w:right="0" w:hanging="266"/>
        <w:jc w:val="left"/>
        <w:rPr>
          <w:sz w:val="20"/>
        </w:rPr>
      </w:pPr>
      <w:r>
        <w:rPr>
          <w:smallCaps/>
          <w:spacing w:val="2"/>
          <w:sz w:val="20"/>
        </w:rPr>
        <w:t>Experimental</w:t>
      </w:r>
      <w:r>
        <w:rPr>
          <w:smallCaps/>
          <w:spacing w:val="68"/>
          <w:sz w:val="20"/>
        </w:rPr>
        <w:t> </w:t>
      </w:r>
      <w:r>
        <w:rPr>
          <w:smallCaps/>
          <w:spacing w:val="-2"/>
          <w:sz w:val="20"/>
        </w:rPr>
        <w:t>Evaluation</w:t>
      </w:r>
    </w:p>
    <w:p>
      <w:pPr>
        <w:pStyle w:val="ListParagraph"/>
        <w:numPr>
          <w:ilvl w:val="0"/>
          <w:numId w:val="8"/>
        </w:numPr>
        <w:tabs>
          <w:tab w:pos="469" w:val="left" w:leader="none"/>
        </w:tabs>
        <w:spacing w:line="240" w:lineRule="auto" w:before="115" w:after="0"/>
        <w:ind w:left="469" w:right="0" w:hanging="270"/>
        <w:jc w:val="both"/>
        <w:rPr>
          <w:i/>
          <w:sz w:val="20"/>
        </w:rPr>
      </w:pPr>
      <w:r>
        <w:rPr>
          <w:i/>
          <w:spacing w:val="-2"/>
          <w:sz w:val="20"/>
        </w:rPr>
        <w:t>Setup</w:t>
      </w:r>
    </w:p>
    <w:p>
      <w:pPr>
        <w:pStyle w:val="BodyText"/>
        <w:spacing w:line="249" w:lineRule="auto" w:before="98"/>
        <w:ind w:left="199" w:right="257" w:firstLine="199"/>
        <w:jc w:val="both"/>
      </w:pPr>
      <w:r>
        <w:rPr/>
        <w:t>All experiments were conducted on the 100-agent </w:t>
      </w:r>
      <w:r>
        <w:rPr/>
        <w:t>Rapid SCADA deployment. The primary evaluation ran over a 24-hour simulated operational cycle comprising 28,800 discrete time</w:t>
      </w:r>
      <w:r>
        <w:rPr>
          <w:spacing w:val="61"/>
        </w:rPr>
        <w:t> </w:t>
      </w:r>
      <w:r>
        <w:rPr/>
        <w:t>steps.</w:t>
      </w:r>
      <w:r>
        <w:rPr>
          <w:spacing w:val="62"/>
        </w:rPr>
        <w:t> </w:t>
      </w:r>
      <w:r>
        <w:rPr/>
        <w:t>Attack</w:t>
      </w:r>
      <w:r>
        <w:rPr>
          <w:spacing w:val="62"/>
        </w:rPr>
        <w:t> </w:t>
      </w:r>
      <w:r>
        <w:rPr/>
        <w:t>injection</w:t>
      </w:r>
      <w:r>
        <w:rPr>
          <w:spacing w:val="62"/>
        </w:rPr>
        <w:t> </w:t>
      </w:r>
      <w:r>
        <w:rPr/>
        <w:t>was</w:t>
      </w:r>
      <w:r>
        <w:rPr>
          <w:spacing w:val="62"/>
        </w:rPr>
        <w:t> </w:t>
      </w:r>
      <w:r>
        <w:rPr/>
        <w:t>performed</w:t>
      </w:r>
      <w:r>
        <w:rPr>
          <w:spacing w:val="62"/>
        </w:rPr>
        <w:t> </w:t>
      </w:r>
      <w:r>
        <w:rPr/>
        <w:t>by</w:t>
      </w:r>
      <w:r>
        <w:rPr>
          <w:spacing w:val="62"/>
        </w:rPr>
        <w:t> </w:t>
      </w:r>
      <w:r>
        <w:rPr>
          <w:spacing w:val="-2"/>
        </w:rPr>
        <w:t>modifying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line="249" w:lineRule="auto" w:before="71"/>
        <w:ind w:left="259"/>
        <w:jc w:val="both"/>
      </w:pPr>
      <w:r>
        <w:rPr/>
        <w:t>calculated channel expressions within Rapid SCADA to </w:t>
      </w:r>
      <w:r>
        <w:rPr/>
        <w:t>pro-duce FDI, DoS, and MITM patterns at known time intervals, enabling</w:t>
      </w:r>
      <w:r>
        <w:rPr>
          <w:spacing w:val="-6"/>
        </w:rPr>
        <w:t> </w:t>
      </w:r>
      <w:r>
        <w:rPr/>
        <w:t>precise</w:t>
      </w:r>
      <w:r>
        <w:rPr>
          <w:spacing w:val="-6"/>
        </w:rPr>
        <w:t> </w:t>
      </w:r>
      <w:r>
        <w:rPr/>
        <w:t>ground-truth</w:t>
      </w:r>
      <w:r>
        <w:rPr>
          <w:spacing w:val="-6"/>
        </w:rPr>
        <w:t> </w:t>
      </w:r>
      <w:r>
        <w:rPr/>
        <w:t>labelling.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five-method</w:t>
      </w:r>
      <w:r>
        <w:rPr>
          <w:spacing w:val="-6"/>
        </w:rPr>
        <w:t> </w:t>
      </w:r>
      <w:r>
        <w:rPr/>
        <w:t>com-parative study evaluated all methods on identical telemetry sequences with a representative mixture of normal operation and the three attack categories.</w:t>
      </w:r>
    </w:p>
    <w:p>
      <w:pPr>
        <w:pStyle w:val="ListParagraph"/>
        <w:numPr>
          <w:ilvl w:val="0"/>
          <w:numId w:val="8"/>
        </w:numPr>
        <w:tabs>
          <w:tab w:pos="529" w:val="left" w:leader="none"/>
        </w:tabs>
        <w:spacing w:line="240" w:lineRule="auto" w:before="172" w:after="0"/>
        <w:ind w:left="529" w:right="0" w:hanging="270"/>
        <w:jc w:val="both"/>
        <w:rPr>
          <w:i/>
          <w:sz w:val="20"/>
        </w:rPr>
      </w:pPr>
      <w:r>
        <w:rPr>
          <w:i/>
          <w:sz w:val="20"/>
        </w:rPr>
        <w:t>Primary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System</w:t>
      </w:r>
      <w:r>
        <w:rPr>
          <w:i/>
          <w:spacing w:val="13"/>
          <w:sz w:val="20"/>
        </w:rPr>
        <w:t> </w:t>
      </w:r>
      <w:r>
        <w:rPr>
          <w:i/>
          <w:spacing w:val="-2"/>
          <w:sz w:val="20"/>
        </w:rPr>
        <w:t>Metrics</w:t>
      </w:r>
    </w:p>
    <w:p>
      <w:pPr>
        <w:pStyle w:val="BodyText"/>
        <w:spacing w:line="249" w:lineRule="auto" w:before="88"/>
        <w:ind w:left="259" w:firstLine="199"/>
        <w:jc w:val="both"/>
      </w:pPr>
      <w:r>
        <w:rPr/>
        <w:t>Table I reports the complete metric set for the </w:t>
      </w:r>
      <w:r>
        <w:rPr/>
        <w:t>validated N=100 configuration. The system achieves 99.61% detection accuracy and a false positive rate of 0.39%, indicating that</w:t>
      </w:r>
      <w:r>
        <w:rPr>
          <w:spacing w:val="80"/>
          <w:w w:val="150"/>
        </w:rPr>
        <w:t> </w:t>
      </w:r>
      <w:r>
        <w:rPr/>
        <w:t>the pipeline correctly classifies the overwhelming majority of both normal and anomalous states. Risk mitigation and audit coverage</w:t>
      </w:r>
      <w:r>
        <w:rPr>
          <w:spacing w:val="40"/>
        </w:rPr>
        <w:t> </w:t>
      </w:r>
      <w:r>
        <w:rPr/>
        <w:t>both</w:t>
      </w:r>
      <w:r>
        <w:rPr>
          <w:spacing w:val="40"/>
        </w:rPr>
        <w:t> </w:t>
      </w:r>
      <w:r>
        <w:rPr/>
        <w:t>reach</w:t>
      </w:r>
      <w:r>
        <w:rPr>
          <w:spacing w:val="40"/>
        </w:rPr>
        <w:t> </w:t>
      </w:r>
      <w:r>
        <w:rPr/>
        <w:t>100%,</w:t>
      </w:r>
      <w:r>
        <w:rPr>
          <w:spacing w:val="40"/>
        </w:rPr>
        <w:t> </w:t>
      </w:r>
      <w:r>
        <w:rPr/>
        <w:t>meaning</w:t>
      </w:r>
      <w:r>
        <w:rPr>
          <w:spacing w:val="40"/>
        </w:rPr>
        <w:t> </w:t>
      </w:r>
      <w:r>
        <w:rPr/>
        <w:t>every</w:t>
      </w:r>
      <w:r>
        <w:rPr>
          <w:spacing w:val="40"/>
        </w:rPr>
        <w:t> </w:t>
      </w:r>
      <w:r>
        <w:rPr/>
        <w:t>detected</w:t>
      </w:r>
      <w:r>
        <w:rPr>
          <w:spacing w:val="40"/>
        </w:rPr>
        <w:t> </w:t>
      </w:r>
      <w:r>
        <w:rPr/>
        <w:t>threat is addressed and every agent is reached by the audit cycle. Cost</w:t>
      </w:r>
      <w:r>
        <w:rPr>
          <w:spacing w:val="-7"/>
        </w:rPr>
        <w:t> </w:t>
      </w:r>
      <w:r>
        <w:rPr/>
        <w:t>efficiency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54.32%</w:t>
      </w:r>
      <w:r>
        <w:rPr>
          <w:spacing w:val="-6"/>
        </w:rPr>
        <w:t> </w:t>
      </w:r>
      <w:r>
        <w:rPr/>
        <w:t>represents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improvement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11.82 percentage</w:t>
      </w:r>
      <w:r>
        <w:rPr>
          <w:spacing w:val="1"/>
        </w:rPr>
        <w:t> </w:t>
      </w:r>
      <w:r>
        <w:rPr/>
        <w:t>points</w:t>
      </w:r>
      <w:r>
        <w:rPr>
          <w:spacing w:val="1"/>
        </w:rPr>
        <w:t> </w:t>
      </w:r>
      <w:r>
        <w:rPr/>
        <w:t>over</w:t>
      </w:r>
      <w:r>
        <w:rPr>
          <w:spacing w:val="2"/>
        </w:rPr>
        <w:t> </w:t>
      </w:r>
      <w:r>
        <w:rPr/>
        <w:t>the</w:t>
      </w:r>
      <w:r>
        <w:rPr>
          <w:spacing w:val="1"/>
        </w:rPr>
        <w:t> </w:t>
      </w:r>
      <w:r>
        <w:rPr/>
        <w:t>Q-learning-only</w:t>
      </w:r>
      <w:r>
        <w:rPr>
          <w:spacing w:val="1"/>
        </w:rPr>
        <w:t> </w:t>
      </w:r>
      <w:r>
        <w:rPr/>
        <w:t>baseline</w:t>
      </w:r>
      <w:r>
        <w:rPr>
          <w:spacing w:val="2"/>
        </w:rPr>
        <w:t> </w:t>
      </w:r>
      <w:r>
        <w:rPr/>
        <w:t>of</w:t>
      </w:r>
      <w:r>
        <w:rPr>
          <w:spacing w:val="1"/>
        </w:rPr>
        <w:t> </w:t>
      </w:r>
      <w:r>
        <w:rPr>
          <w:spacing w:val="-2"/>
        </w:rPr>
        <w:t>42.5%.</w:t>
      </w:r>
    </w:p>
    <w:p>
      <w:pPr>
        <w:pStyle w:val="BodyText"/>
        <w:spacing w:before="65"/>
      </w:pPr>
    </w:p>
    <w:p>
      <w:pPr>
        <w:spacing w:line="182" w:lineRule="exact" w:before="0"/>
        <w:ind w:left="259" w:right="0" w:firstLine="0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10"/>
          <w:sz w:val="16"/>
        </w:rPr>
        <w:t>I</w:t>
      </w:r>
    </w:p>
    <w:p>
      <w:pPr>
        <w:spacing w:line="179" w:lineRule="exact" w:before="0"/>
        <w:ind w:left="259" w:right="0" w:firstLine="0"/>
        <w:jc w:val="center"/>
        <w:rPr>
          <w:sz w:val="16"/>
        </w:rPr>
      </w:pPr>
      <w:r>
        <w:rPr>
          <w:smallCaps/>
          <w:sz w:val="16"/>
        </w:rPr>
        <w:t>Primary</w:t>
      </w:r>
      <w:r>
        <w:rPr>
          <w:smallCaps/>
          <w:spacing w:val="35"/>
          <w:sz w:val="16"/>
        </w:rPr>
        <w:t> </w:t>
      </w:r>
      <w:r>
        <w:rPr>
          <w:smallCaps/>
          <w:sz w:val="16"/>
        </w:rPr>
        <w:t>Operational</w:t>
      </w:r>
      <w:r>
        <w:rPr>
          <w:smallCaps/>
          <w:spacing w:val="37"/>
          <w:sz w:val="16"/>
        </w:rPr>
        <w:t> </w:t>
      </w:r>
      <w:r>
        <w:rPr>
          <w:smallCaps/>
          <w:sz w:val="16"/>
        </w:rPr>
        <w:t>Metrics</w:t>
      </w:r>
      <w:r>
        <w:rPr>
          <w:smallCaps/>
          <w:spacing w:val="37"/>
          <w:sz w:val="16"/>
        </w:rPr>
        <w:t> </w:t>
      </w:r>
      <w:r>
        <w:rPr>
          <w:smallCaps/>
          <w:sz w:val="16"/>
        </w:rPr>
        <w:t>—</w:t>
      </w:r>
      <w:r>
        <w:rPr>
          <w:smallCaps/>
          <w:spacing w:val="28"/>
          <w:sz w:val="16"/>
        </w:rPr>
        <w:t> </w:t>
      </w:r>
      <w:r>
        <w:rPr>
          <w:smallCaps/>
          <w:sz w:val="16"/>
        </w:rPr>
        <w:t>N=100</w:t>
      </w:r>
      <w:r>
        <w:rPr>
          <w:smallCaps/>
          <w:spacing w:val="28"/>
          <w:sz w:val="16"/>
        </w:rPr>
        <w:t> </w:t>
      </w:r>
      <w:r>
        <w:rPr>
          <w:smallCaps/>
          <w:spacing w:val="-2"/>
          <w:sz w:val="16"/>
        </w:rPr>
        <w:t>Validated</w:t>
      </w:r>
    </w:p>
    <w:p>
      <w:pPr>
        <w:spacing w:line="182" w:lineRule="exact" w:before="0"/>
        <w:ind w:left="259" w:right="0" w:firstLine="0"/>
        <w:jc w:val="center"/>
        <w:rPr>
          <w:sz w:val="16"/>
        </w:rPr>
      </w:pPr>
      <w:r>
        <w:rPr>
          <w:smallCaps/>
          <w:spacing w:val="-2"/>
          <w:sz w:val="16"/>
        </w:rPr>
        <w:t>Configuration</w:t>
      </w:r>
    </w:p>
    <w:p>
      <w:pPr>
        <w:pStyle w:val="BodyText"/>
        <w:spacing w:before="4"/>
        <w:rPr>
          <w:sz w:val="15"/>
        </w:rPr>
      </w:pPr>
    </w:p>
    <w:tbl>
      <w:tblPr>
        <w:tblW w:w="0" w:type="auto"/>
        <w:jc w:val="left"/>
        <w:tblInd w:w="12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0"/>
        <w:gridCol w:w="920"/>
      </w:tblGrid>
      <w:tr>
        <w:trPr>
          <w:trHeight w:val="177" w:hRule="atLeast"/>
        </w:trPr>
        <w:tc>
          <w:tcPr>
            <w:tcW w:w="2040" w:type="dxa"/>
          </w:tcPr>
          <w:p>
            <w:pPr>
              <w:pStyle w:val="TableParagraph"/>
              <w:ind w:left="118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Metric</w:t>
            </w:r>
          </w:p>
        </w:tc>
        <w:tc>
          <w:tcPr>
            <w:tcW w:w="920" w:type="dxa"/>
          </w:tcPr>
          <w:p>
            <w:pPr>
              <w:pStyle w:val="TableParagraph"/>
              <w:ind w:left="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Value</w:t>
            </w:r>
          </w:p>
        </w:tc>
      </w:tr>
      <w:tr>
        <w:trPr>
          <w:trHeight w:val="177" w:hRule="atLeast"/>
        </w:trPr>
        <w:tc>
          <w:tcPr>
            <w:tcW w:w="2040" w:type="dxa"/>
          </w:tcPr>
          <w:p>
            <w:pPr>
              <w:pStyle w:val="TableParagraph"/>
              <w:ind w:left="118"/>
              <w:jc w:val="left"/>
              <w:rPr>
                <w:sz w:val="16"/>
              </w:rPr>
            </w:pPr>
            <w:r>
              <w:rPr>
                <w:sz w:val="16"/>
              </w:rPr>
              <w:t>Detection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Accuracy</w:t>
            </w:r>
          </w:p>
        </w:tc>
        <w:tc>
          <w:tcPr>
            <w:tcW w:w="920" w:type="dxa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2"/>
                <w:sz w:val="16"/>
              </w:rPr>
              <w:t>99.61%</w:t>
            </w:r>
          </w:p>
        </w:tc>
      </w:tr>
      <w:tr>
        <w:trPr>
          <w:trHeight w:val="177" w:hRule="atLeast"/>
        </w:trPr>
        <w:tc>
          <w:tcPr>
            <w:tcW w:w="2040" w:type="dxa"/>
          </w:tcPr>
          <w:p>
            <w:pPr>
              <w:pStyle w:val="TableParagraph"/>
              <w:ind w:left="118"/>
              <w:jc w:val="left"/>
              <w:rPr>
                <w:sz w:val="16"/>
              </w:rPr>
            </w:pPr>
            <w:r>
              <w:rPr>
                <w:sz w:val="16"/>
              </w:rPr>
              <w:t>False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Positive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4"/>
                <w:sz w:val="16"/>
              </w:rPr>
              <w:t>Rate</w:t>
            </w:r>
          </w:p>
        </w:tc>
        <w:tc>
          <w:tcPr>
            <w:tcW w:w="920" w:type="dxa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2"/>
                <w:sz w:val="16"/>
              </w:rPr>
              <w:t>0.39%</w:t>
            </w:r>
          </w:p>
        </w:tc>
      </w:tr>
      <w:tr>
        <w:trPr>
          <w:trHeight w:val="177" w:hRule="atLeast"/>
        </w:trPr>
        <w:tc>
          <w:tcPr>
            <w:tcW w:w="2040" w:type="dxa"/>
          </w:tcPr>
          <w:p>
            <w:pPr>
              <w:pStyle w:val="TableParagraph"/>
              <w:ind w:left="118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Recall</w:t>
            </w:r>
          </w:p>
        </w:tc>
        <w:tc>
          <w:tcPr>
            <w:tcW w:w="920" w:type="dxa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4"/>
                <w:sz w:val="16"/>
              </w:rPr>
              <w:t>100%</w:t>
            </w:r>
          </w:p>
        </w:tc>
      </w:tr>
      <w:tr>
        <w:trPr>
          <w:trHeight w:val="177" w:hRule="atLeast"/>
        </w:trPr>
        <w:tc>
          <w:tcPr>
            <w:tcW w:w="2040" w:type="dxa"/>
          </w:tcPr>
          <w:p>
            <w:pPr>
              <w:pStyle w:val="TableParagraph"/>
              <w:ind w:left="118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Precision</w:t>
            </w:r>
          </w:p>
        </w:tc>
        <w:tc>
          <w:tcPr>
            <w:tcW w:w="920" w:type="dxa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2"/>
                <w:sz w:val="16"/>
              </w:rPr>
              <w:t>22.07%</w:t>
            </w:r>
          </w:p>
        </w:tc>
      </w:tr>
      <w:tr>
        <w:trPr>
          <w:trHeight w:val="177" w:hRule="atLeast"/>
        </w:trPr>
        <w:tc>
          <w:tcPr>
            <w:tcW w:w="2040" w:type="dxa"/>
          </w:tcPr>
          <w:p>
            <w:pPr>
              <w:pStyle w:val="TableParagraph"/>
              <w:ind w:left="118"/>
              <w:jc w:val="left"/>
              <w:rPr>
                <w:sz w:val="16"/>
              </w:rPr>
            </w:pPr>
            <w:r>
              <w:rPr>
                <w:sz w:val="16"/>
              </w:rPr>
              <w:t>F1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Score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(24-</w:t>
            </w:r>
            <w:r>
              <w:rPr>
                <w:spacing w:val="-2"/>
                <w:sz w:val="16"/>
              </w:rPr>
              <w:t>hour)</w:t>
            </w:r>
          </w:p>
        </w:tc>
        <w:tc>
          <w:tcPr>
            <w:tcW w:w="920" w:type="dxa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2"/>
                <w:sz w:val="16"/>
              </w:rPr>
              <w:t>36.16%</w:t>
            </w:r>
          </w:p>
        </w:tc>
      </w:tr>
      <w:tr>
        <w:trPr>
          <w:trHeight w:val="177" w:hRule="atLeast"/>
        </w:trPr>
        <w:tc>
          <w:tcPr>
            <w:tcW w:w="2040" w:type="dxa"/>
          </w:tcPr>
          <w:p>
            <w:pPr>
              <w:pStyle w:val="TableParagraph"/>
              <w:ind w:left="118"/>
              <w:jc w:val="left"/>
              <w:rPr>
                <w:sz w:val="16"/>
              </w:rPr>
            </w:pPr>
            <w:r>
              <w:rPr>
                <w:sz w:val="16"/>
              </w:rPr>
              <w:t>Risk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Mitigation</w:t>
            </w:r>
          </w:p>
        </w:tc>
        <w:tc>
          <w:tcPr>
            <w:tcW w:w="920" w:type="dxa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4"/>
                <w:sz w:val="16"/>
              </w:rPr>
              <w:t>100%</w:t>
            </w:r>
          </w:p>
        </w:tc>
      </w:tr>
      <w:tr>
        <w:trPr>
          <w:trHeight w:val="177" w:hRule="atLeast"/>
        </w:trPr>
        <w:tc>
          <w:tcPr>
            <w:tcW w:w="2040" w:type="dxa"/>
          </w:tcPr>
          <w:p>
            <w:pPr>
              <w:pStyle w:val="TableParagraph"/>
              <w:ind w:left="118"/>
              <w:jc w:val="left"/>
              <w:rPr>
                <w:sz w:val="16"/>
              </w:rPr>
            </w:pPr>
            <w:r>
              <w:rPr>
                <w:sz w:val="16"/>
              </w:rPr>
              <w:t>Cost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Efficiency</w:t>
            </w:r>
          </w:p>
        </w:tc>
        <w:tc>
          <w:tcPr>
            <w:tcW w:w="920" w:type="dxa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2"/>
                <w:sz w:val="16"/>
              </w:rPr>
              <w:t>54.32%</w:t>
            </w:r>
          </w:p>
        </w:tc>
      </w:tr>
      <w:tr>
        <w:trPr>
          <w:trHeight w:val="177" w:hRule="atLeast"/>
        </w:trPr>
        <w:tc>
          <w:tcPr>
            <w:tcW w:w="2040" w:type="dxa"/>
          </w:tcPr>
          <w:p>
            <w:pPr>
              <w:pStyle w:val="TableParagraph"/>
              <w:ind w:left="118"/>
              <w:jc w:val="left"/>
              <w:rPr>
                <w:sz w:val="16"/>
              </w:rPr>
            </w:pPr>
            <w:r>
              <w:rPr>
                <w:sz w:val="16"/>
              </w:rPr>
              <w:t>Audit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Coverage</w:t>
            </w:r>
          </w:p>
        </w:tc>
        <w:tc>
          <w:tcPr>
            <w:tcW w:w="920" w:type="dxa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4"/>
                <w:sz w:val="16"/>
              </w:rPr>
              <w:t>100%</w:t>
            </w:r>
          </w:p>
        </w:tc>
      </w:tr>
      <w:tr>
        <w:trPr>
          <w:trHeight w:val="177" w:hRule="atLeast"/>
        </w:trPr>
        <w:tc>
          <w:tcPr>
            <w:tcW w:w="2040" w:type="dxa"/>
          </w:tcPr>
          <w:p>
            <w:pPr>
              <w:pStyle w:val="TableParagraph"/>
              <w:ind w:left="118"/>
              <w:jc w:val="left"/>
              <w:rPr>
                <w:sz w:val="16"/>
              </w:rPr>
            </w:pPr>
            <w:r>
              <w:rPr>
                <w:sz w:val="16"/>
              </w:rPr>
              <w:t>Attack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Rate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Reduction</w:t>
            </w:r>
          </w:p>
        </w:tc>
        <w:tc>
          <w:tcPr>
            <w:tcW w:w="920" w:type="dxa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2"/>
                <w:sz w:val="16"/>
              </w:rPr>
              <w:t>55.5%</w:t>
            </w:r>
          </w:p>
        </w:tc>
      </w:tr>
      <w:tr>
        <w:trPr>
          <w:trHeight w:val="177" w:hRule="atLeast"/>
        </w:trPr>
        <w:tc>
          <w:tcPr>
            <w:tcW w:w="2040" w:type="dxa"/>
          </w:tcPr>
          <w:p>
            <w:pPr>
              <w:pStyle w:val="TableParagraph"/>
              <w:ind w:left="118"/>
              <w:jc w:val="left"/>
              <w:rPr>
                <w:sz w:val="16"/>
              </w:rPr>
            </w:pPr>
            <w:r>
              <w:rPr>
                <w:sz w:val="16"/>
              </w:rPr>
              <w:t>Cross-Layer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Stability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4"/>
                <w:sz w:val="16"/>
              </w:rPr>
              <w:t>Index</w:t>
            </w:r>
          </w:p>
        </w:tc>
        <w:tc>
          <w:tcPr>
            <w:tcW w:w="920" w:type="dxa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2"/>
                <w:sz w:val="16"/>
              </w:rPr>
              <w:t>99.65%</w:t>
            </w:r>
          </w:p>
        </w:tc>
      </w:tr>
      <w:tr>
        <w:trPr>
          <w:trHeight w:val="177" w:hRule="atLeast"/>
        </w:trPr>
        <w:tc>
          <w:tcPr>
            <w:tcW w:w="2040" w:type="dxa"/>
          </w:tcPr>
          <w:p>
            <w:pPr>
              <w:pStyle w:val="TableParagraph"/>
              <w:ind w:left="118"/>
              <w:jc w:val="left"/>
              <w:rPr>
                <w:sz w:val="16"/>
              </w:rPr>
            </w:pPr>
            <w:r>
              <w:rPr>
                <w:sz w:val="16"/>
              </w:rPr>
              <w:t>Avg.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E2E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Latency</w:t>
            </w:r>
          </w:p>
        </w:tc>
        <w:tc>
          <w:tcPr>
            <w:tcW w:w="920" w:type="dxa"/>
          </w:tcPr>
          <w:p>
            <w:pPr>
              <w:pStyle w:val="TableParagraph"/>
              <w:ind w:left="157"/>
              <w:jc w:val="left"/>
              <w:rPr>
                <w:sz w:val="16"/>
              </w:rPr>
            </w:pPr>
            <w:r>
              <w:rPr>
                <w:sz w:val="16"/>
              </w:rPr>
              <w:t>77.23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5"/>
                <w:sz w:val="16"/>
              </w:rPr>
              <w:t>ms</w:t>
            </w:r>
          </w:p>
        </w:tc>
      </w:tr>
      <w:tr>
        <w:trPr>
          <w:trHeight w:val="177" w:hRule="atLeast"/>
        </w:trPr>
        <w:tc>
          <w:tcPr>
            <w:tcW w:w="2040" w:type="dxa"/>
          </w:tcPr>
          <w:p>
            <w:pPr>
              <w:pStyle w:val="TableParagraph"/>
              <w:ind w:left="118"/>
              <w:jc w:val="left"/>
              <w:rPr>
                <w:sz w:val="16"/>
              </w:rPr>
            </w:pPr>
            <w:r>
              <w:rPr>
                <w:sz w:val="16"/>
              </w:rPr>
              <w:t>P95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E2E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Latency</w:t>
            </w:r>
          </w:p>
        </w:tc>
        <w:tc>
          <w:tcPr>
            <w:tcW w:w="920" w:type="dxa"/>
          </w:tcPr>
          <w:p>
            <w:pPr>
              <w:pStyle w:val="TableParagraph"/>
              <w:ind w:left="118"/>
              <w:jc w:val="left"/>
              <w:rPr>
                <w:sz w:val="16"/>
              </w:rPr>
            </w:pPr>
            <w:r>
              <w:rPr>
                <w:sz w:val="16"/>
              </w:rPr>
              <w:t>103.80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5"/>
                <w:sz w:val="16"/>
              </w:rPr>
              <w:t>ms</w:t>
            </w:r>
          </w:p>
        </w:tc>
      </w:tr>
    </w:tbl>
    <w:p>
      <w:pPr>
        <w:pStyle w:val="BodyText"/>
        <w:rPr>
          <w:sz w:val="12"/>
        </w:rPr>
      </w:pPr>
    </w:p>
    <w:p>
      <w:pPr>
        <w:pStyle w:val="BodyText"/>
        <w:spacing w:before="69"/>
        <w:rPr>
          <w:sz w:val="12"/>
        </w:rPr>
      </w:pPr>
    </w:p>
    <w:p>
      <w:pPr>
        <w:pStyle w:val="BodyText"/>
        <w:spacing w:line="249" w:lineRule="auto" w:before="1"/>
        <w:ind w:left="259" w:firstLine="199"/>
        <w:jc w:val="both"/>
      </w:pPr>
      <w:r>
        <w:rPr/>
        <w:t>The apparent discrepancy between the high detection </w:t>
      </w:r>
      <w:r>
        <w:rPr/>
        <w:t>ac-curacy</w:t>
      </w:r>
      <w:r>
        <w:rPr>
          <w:spacing w:val="36"/>
        </w:rPr>
        <w:t> </w:t>
      </w:r>
      <w:r>
        <w:rPr/>
        <w:t>(99.61%)</w:t>
      </w:r>
      <w:r>
        <w:rPr>
          <w:spacing w:val="36"/>
        </w:rPr>
        <w:t> </w:t>
      </w:r>
      <w:r>
        <w:rPr/>
        <w:t>and</w:t>
      </w:r>
      <w:r>
        <w:rPr>
          <w:spacing w:val="36"/>
        </w:rPr>
        <w:t> </w:t>
      </w:r>
      <w:r>
        <w:rPr/>
        <w:t>the</w:t>
      </w:r>
      <w:r>
        <w:rPr>
          <w:spacing w:val="36"/>
        </w:rPr>
        <w:t> </w:t>
      </w:r>
      <w:r>
        <w:rPr/>
        <w:t>lower</w:t>
      </w:r>
      <w:r>
        <w:rPr>
          <w:spacing w:val="36"/>
        </w:rPr>
        <w:t> </w:t>
      </w:r>
      <w:r>
        <w:rPr/>
        <w:t>24-hour</w:t>
      </w:r>
      <w:r>
        <w:rPr>
          <w:spacing w:val="36"/>
        </w:rPr>
        <w:t> </w:t>
      </w:r>
      <w:r>
        <w:rPr/>
        <w:t>F1</w:t>
      </w:r>
      <w:r>
        <w:rPr>
          <w:spacing w:val="36"/>
        </w:rPr>
        <w:t> </w:t>
      </w:r>
      <w:r>
        <w:rPr/>
        <w:t>score</w:t>
      </w:r>
      <w:r>
        <w:rPr>
          <w:spacing w:val="36"/>
        </w:rPr>
        <w:t> </w:t>
      </w:r>
      <w:r>
        <w:rPr/>
        <w:t>(36.16%) is a direct consequence of class imbalance. Of the 28,800</w:t>
      </w:r>
      <w:r>
        <w:rPr>
          <w:spacing w:val="80"/>
        </w:rPr>
        <w:t> </w:t>
      </w:r>
      <w:r>
        <w:rPr/>
        <w:t>time steps, approximately 28,655 correspond to normal states and only 145 to genuine anomalies. The accuracy metric is dominated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correct</w:t>
      </w:r>
      <w:r>
        <w:rPr>
          <w:spacing w:val="-8"/>
        </w:rPr>
        <w:t> </w:t>
      </w:r>
      <w:r>
        <w:rPr/>
        <w:t>normal-state</w:t>
      </w:r>
      <w:r>
        <w:rPr>
          <w:spacing w:val="-8"/>
        </w:rPr>
        <w:t> </w:t>
      </w:r>
      <w:r>
        <w:rPr/>
        <w:t>classifications,</w:t>
      </w:r>
      <w:r>
        <w:rPr>
          <w:spacing w:val="-8"/>
        </w:rPr>
        <w:t> </w:t>
      </w:r>
      <w:r>
        <w:rPr/>
        <w:t>while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F1 score</w:t>
      </w:r>
      <w:r>
        <w:rPr>
          <w:spacing w:val="28"/>
        </w:rPr>
        <w:t> </w:t>
      </w:r>
      <w:r>
        <w:rPr/>
        <w:t>is</w:t>
      </w:r>
      <w:r>
        <w:rPr>
          <w:spacing w:val="28"/>
        </w:rPr>
        <w:t> </w:t>
      </w:r>
      <w:r>
        <w:rPr/>
        <w:t>computed</w:t>
      </w:r>
      <w:r>
        <w:rPr>
          <w:spacing w:val="28"/>
        </w:rPr>
        <w:t> </w:t>
      </w:r>
      <w:r>
        <w:rPr/>
        <w:t>exclusively</w:t>
      </w:r>
      <w:r>
        <w:rPr>
          <w:spacing w:val="28"/>
        </w:rPr>
        <w:t> </w:t>
      </w:r>
      <w:r>
        <w:rPr/>
        <w:t>from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precision</w:t>
      </w:r>
      <w:r>
        <w:rPr>
          <w:spacing w:val="28"/>
        </w:rPr>
        <w:t> </w:t>
      </w:r>
      <w:r>
        <w:rPr/>
        <w:t>and</w:t>
      </w:r>
      <w:r>
        <w:rPr>
          <w:spacing w:val="28"/>
        </w:rPr>
        <w:t> </w:t>
      </w:r>
      <w:r>
        <w:rPr/>
        <w:t>recall of anomaly-class predictions. Even a small number of false positive anomaly flags significantly reduces precision in this highly imbalanced setting. The per-step F1 score of 82.25% from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five-method</w:t>
      </w:r>
      <w:r>
        <w:rPr>
          <w:spacing w:val="-12"/>
        </w:rPr>
        <w:t> </w:t>
      </w:r>
      <w:r>
        <w:rPr/>
        <w:t>comparison</w:t>
      </w:r>
      <w:r>
        <w:rPr>
          <w:spacing w:val="-12"/>
        </w:rPr>
        <w:t> </w:t>
      </w:r>
      <w:r>
        <w:rPr/>
        <w:t>study</w:t>
      </w:r>
      <w:r>
        <w:rPr>
          <w:spacing w:val="-12"/>
        </w:rPr>
        <w:t> </w:t>
      </w:r>
      <w:r>
        <w:rPr/>
        <w:t>(which</w:t>
      </w:r>
      <w:r>
        <w:rPr>
          <w:spacing w:val="-12"/>
        </w:rPr>
        <w:t> </w:t>
      </w:r>
      <w:r>
        <w:rPr/>
        <w:t>uses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balanced per-step evaluation) provides a more informative measure of per-decision classification quality.</w:t>
      </w:r>
    </w:p>
    <w:p>
      <w:pPr>
        <w:pStyle w:val="ListParagraph"/>
        <w:numPr>
          <w:ilvl w:val="0"/>
          <w:numId w:val="8"/>
        </w:numPr>
        <w:tabs>
          <w:tab w:pos="540" w:val="left" w:leader="none"/>
        </w:tabs>
        <w:spacing w:line="240" w:lineRule="auto" w:before="171" w:after="0"/>
        <w:ind w:left="540" w:right="0" w:hanging="281"/>
        <w:jc w:val="both"/>
        <w:rPr>
          <w:i/>
          <w:sz w:val="20"/>
        </w:rPr>
      </w:pPr>
      <w:r>
        <w:rPr>
          <w:i/>
          <w:sz w:val="20"/>
        </w:rPr>
        <w:t>Comparison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with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Base</w:t>
      </w:r>
      <w:r>
        <w:rPr>
          <w:i/>
          <w:spacing w:val="13"/>
          <w:sz w:val="20"/>
        </w:rPr>
        <w:t> </w:t>
      </w:r>
      <w:r>
        <w:rPr>
          <w:i/>
          <w:spacing w:val="-2"/>
          <w:sz w:val="20"/>
        </w:rPr>
        <w:t>Paper</w:t>
      </w:r>
    </w:p>
    <w:p>
      <w:pPr>
        <w:pStyle w:val="BodyText"/>
        <w:spacing w:line="249" w:lineRule="auto" w:before="88"/>
        <w:ind w:left="259" w:firstLine="199"/>
        <w:jc w:val="both"/>
      </w:pPr>
      <w:r>
        <w:rPr/>
        <w:t>Table II compares the proposed system against the </w:t>
      </w:r>
      <w:r>
        <w:rPr/>
        <w:t>base paper reference configuration [17]. The proposed system im-proves on every primary metric. The most significant gains</w:t>
      </w:r>
      <w:r>
        <w:rPr>
          <w:spacing w:val="40"/>
        </w:rPr>
        <w:t> </w:t>
      </w:r>
      <w:r>
        <w:rPr/>
        <w:t>are</w:t>
      </w:r>
      <w:r>
        <w:rPr>
          <w:spacing w:val="-6"/>
        </w:rPr>
        <w:t> </w:t>
      </w:r>
      <w:r>
        <w:rPr/>
        <w:t>observed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risk</w:t>
      </w:r>
      <w:r>
        <w:rPr>
          <w:spacing w:val="-6"/>
        </w:rPr>
        <w:t> </w:t>
      </w:r>
      <w:r>
        <w:rPr/>
        <w:t>mitigation</w:t>
      </w:r>
      <w:r>
        <w:rPr>
          <w:spacing w:val="-6"/>
        </w:rPr>
        <w:t> </w:t>
      </w:r>
      <w:r>
        <w:rPr/>
        <w:t>(+12.1</w:t>
      </w:r>
      <w:r>
        <w:rPr>
          <w:spacing w:val="-6"/>
        </w:rPr>
        <w:t> </w:t>
      </w:r>
      <w:r>
        <w:rPr/>
        <w:t>percentage</w:t>
      </w:r>
      <w:r>
        <w:rPr>
          <w:spacing w:val="-6"/>
        </w:rPr>
        <w:t> </w:t>
      </w:r>
      <w:r>
        <w:rPr/>
        <w:t>points),</w:t>
      </w:r>
      <w:r>
        <w:rPr>
          <w:spacing w:val="-6"/>
        </w:rPr>
        <w:t> </w:t>
      </w:r>
      <w:r>
        <w:rPr/>
        <w:t>false positive</w:t>
      </w:r>
      <w:r>
        <w:rPr>
          <w:spacing w:val="-2"/>
        </w:rPr>
        <w:t> </w:t>
      </w:r>
      <w:r>
        <w:rPr/>
        <w:t>rate</w:t>
      </w:r>
      <w:r>
        <w:rPr>
          <w:spacing w:val="-2"/>
        </w:rPr>
        <w:t> </w:t>
      </w:r>
      <w:r>
        <w:rPr/>
        <w:t>reduction</w:t>
      </w:r>
      <w:r>
        <w:rPr>
          <w:spacing w:val="-2"/>
        </w:rPr>
        <w:t> </w:t>
      </w:r>
      <w:r>
        <w:rPr/>
        <w:t>(from</w:t>
      </w:r>
      <w:r>
        <w:rPr>
          <w:spacing w:val="-2"/>
        </w:rPr>
        <w:t> </w:t>
      </w:r>
      <w:r>
        <w:rPr/>
        <w:t>3.2%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0.39%),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audit</w:t>
      </w:r>
      <w:r>
        <w:rPr>
          <w:spacing w:val="-2"/>
        </w:rPr>
        <w:t> </w:t>
      </w:r>
      <w:r>
        <w:rPr/>
        <w:t>cover-age</w:t>
      </w:r>
      <w:r>
        <w:rPr>
          <w:spacing w:val="-4"/>
        </w:rPr>
        <w:t> </w:t>
      </w:r>
      <w:r>
        <w:rPr/>
        <w:t>(+6.2</w:t>
      </w:r>
      <w:r>
        <w:rPr>
          <w:spacing w:val="-4"/>
        </w:rPr>
        <w:t> </w:t>
      </w:r>
      <w:r>
        <w:rPr/>
        <w:t>percentage</w:t>
      </w:r>
      <w:r>
        <w:rPr>
          <w:spacing w:val="-4"/>
        </w:rPr>
        <w:t> </w:t>
      </w:r>
      <w:r>
        <w:rPr/>
        <w:t>points).</w:t>
      </w:r>
      <w:r>
        <w:rPr>
          <w:spacing w:val="-4"/>
        </w:rPr>
        <w:t> </w:t>
      </w:r>
      <w:r>
        <w:rPr/>
        <w:t>These</w:t>
      </w:r>
      <w:r>
        <w:rPr>
          <w:spacing w:val="-4"/>
        </w:rPr>
        <w:t> </w:t>
      </w:r>
      <w:r>
        <w:rPr/>
        <w:t>improvements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directly attributable to the multi-layer detection architecture, weighted ensemble fusion, and the hybrid scheduling mechanism.</w:t>
      </w:r>
    </w:p>
    <w:p>
      <w:pPr>
        <w:spacing w:line="182" w:lineRule="exact" w:before="109"/>
        <w:ind w:left="0" w:right="58" w:firstLine="0"/>
        <w:jc w:val="center"/>
        <w:rPr>
          <w:sz w:val="16"/>
        </w:rPr>
      </w:pPr>
      <w:r>
        <w:rPr/>
        <w:br w:type="column"/>
      </w: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5"/>
          <w:sz w:val="16"/>
        </w:rPr>
        <w:t>II</w:t>
      </w:r>
    </w:p>
    <w:p>
      <w:pPr>
        <w:spacing w:line="182" w:lineRule="exact" w:before="0"/>
        <w:ind w:left="0" w:right="58" w:firstLine="0"/>
        <w:jc w:val="center"/>
        <w:rPr>
          <w:sz w:val="16"/>
        </w:rPr>
      </w:pPr>
      <w:r>
        <w:rPr>
          <w:smallCaps/>
          <w:sz w:val="16"/>
        </w:rPr>
        <w:t>Proposed</w:t>
      </w:r>
      <w:r>
        <w:rPr>
          <w:smallCaps/>
          <w:spacing w:val="31"/>
          <w:sz w:val="16"/>
        </w:rPr>
        <w:t> </w:t>
      </w:r>
      <w:r>
        <w:rPr>
          <w:smallCaps/>
          <w:sz w:val="16"/>
        </w:rPr>
        <w:t>System</w:t>
      </w:r>
      <w:r>
        <w:rPr>
          <w:smallCaps/>
          <w:spacing w:val="31"/>
          <w:sz w:val="16"/>
        </w:rPr>
        <w:t> </w:t>
      </w:r>
      <w:r>
        <w:rPr>
          <w:smallCaps/>
          <w:sz w:val="16"/>
        </w:rPr>
        <w:t>vs.</w:t>
      </w:r>
      <w:r>
        <w:rPr>
          <w:smallCaps/>
          <w:spacing w:val="22"/>
          <w:sz w:val="16"/>
        </w:rPr>
        <w:t> </w:t>
      </w:r>
      <w:r>
        <w:rPr>
          <w:smallCaps/>
          <w:sz w:val="16"/>
        </w:rPr>
        <w:t>Base</w:t>
      </w:r>
      <w:r>
        <w:rPr>
          <w:smallCaps/>
          <w:spacing w:val="31"/>
          <w:sz w:val="16"/>
        </w:rPr>
        <w:t> </w:t>
      </w:r>
      <w:r>
        <w:rPr>
          <w:smallCaps/>
          <w:sz w:val="16"/>
        </w:rPr>
        <w:t>Paper</w:t>
      </w:r>
      <w:r>
        <w:rPr>
          <w:smallCaps/>
          <w:spacing w:val="31"/>
          <w:sz w:val="16"/>
        </w:rPr>
        <w:t> </w:t>
      </w:r>
      <w:r>
        <w:rPr>
          <w:smallCaps/>
          <w:spacing w:val="-2"/>
          <w:sz w:val="16"/>
        </w:rPr>
        <w:t>Comparison</w:t>
      </w:r>
    </w:p>
    <w:p>
      <w:pPr>
        <w:pStyle w:val="BodyText"/>
        <w:spacing w:before="3" w:after="1"/>
        <w:rPr>
          <w:sz w:val="15"/>
        </w:rPr>
      </w:pPr>
    </w:p>
    <w:tbl>
      <w:tblPr>
        <w:tblW w:w="0" w:type="auto"/>
        <w:jc w:val="left"/>
        <w:tblInd w:w="4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6"/>
        <w:gridCol w:w="1024"/>
        <w:gridCol w:w="945"/>
        <w:gridCol w:w="904"/>
      </w:tblGrid>
      <w:tr>
        <w:trPr>
          <w:trHeight w:val="177" w:hRule="atLeast"/>
        </w:trPr>
        <w:tc>
          <w:tcPr>
            <w:tcW w:w="1526" w:type="dxa"/>
          </w:tcPr>
          <w:p>
            <w:pPr>
              <w:pStyle w:val="TableParagraph"/>
              <w:ind w:left="118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Metric</w:t>
            </w:r>
          </w:p>
        </w:tc>
        <w:tc>
          <w:tcPr>
            <w:tcW w:w="1024" w:type="dxa"/>
          </w:tcPr>
          <w:p>
            <w:pPr>
              <w:pStyle w:val="TableParagraph"/>
              <w:ind w:left="6"/>
              <w:rPr>
                <w:b/>
                <w:sz w:val="16"/>
              </w:rPr>
            </w:pPr>
            <w:r>
              <w:rPr>
                <w:b/>
                <w:sz w:val="16"/>
              </w:rPr>
              <w:t>Base</w:t>
            </w:r>
            <w:r>
              <w:rPr>
                <w:b/>
                <w:spacing w:val="1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Paper</w:t>
            </w:r>
          </w:p>
        </w:tc>
        <w:tc>
          <w:tcPr>
            <w:tcW w:w="945" w:type="dxa"/>
          </w:tcPr>
          <w:p>
            <w:pPr>
              <w:pStyle w:val="TableParagraph"/>
              <w:ind w:left="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Proposed</w:t>
            </w:r>
          </w:p>
        </w:tc>
        <w:tc>
          <w:tcPr>
            <w:tcW w:w="904" w:type="dxa"/>
          </w:tcPr>
          <w:p>
            <w:pPr>
              <w:pStyle w:val="TableParagraph"/>
              <w:ind w:left="3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Gain</w:t>
            </w:r>
          </w:p>
        </w:tc>
      </w:tr>
      <w:tr>
        <w:trPr>
          <w:trHeight w:val="177" w:hRule="atLeast"/>
        </w:trPr>
        <w:tc>
          <w:tcPr>
            <w:tcW w:w="1526" w:type="dxa"/>
          </w:tcPr>
          <w:p>
            <w:pPr>
              <w:pStyle w:val="TableParagraph"/>
              <w:ind w:left="118"/>
              <w:jc w:val="left"/>
              <w:rPr>
                <w:sz w:val="16"/>
              </w:rPr>
            </w:pPr>
            <w:r>
              <w:rPr>
                <w:sz w:val="16"/>
              </w:rPr>
              <w:t>Detection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Accuracy</w:t>
            </w:r>
          </w:p>
        </w:tc>
        <w:tc>
          <w:tcPr>
            <w:tcW w:w="1024" w:type="dxa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2"/>
                <w:sz w:val="16"/>
              </w:rPr>
              <w:t>98.4%</w:t>
            </w:r>
          </w:p>
        </w:tc>
        <w:tc>
          <w:tcPr>
            <w:tcW w:w="945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2"/>
                <w:sz w:val="16"/>
              </w:rPr>
              <w:t>99.61%</w:t>
            </w:r>
          </w:p>
        </w:tc>
        <w:tc>
          <w:tcPr>
            <w:tcW w:w="904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z w:val="16"/>
              </w:rPr>
              <w:t>+1.21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5"/>
                <w:sz w:val="16"/>
              </w:rPr>
              <w:t>pp</w:t>
            </w:r>
          </w:p>
        </w:tc>
      </w:tr>
      <w:tr>
        <w:trPr>
          <w:trHeight w:val="177" w:hRule="atLeast"/>
        </w:trPr>
        <w:tc>
          <w:tcPr>
            <w:tcW w:w="1526" w:type="dxa"/>
          </w:tcPr>
          <w:p>
            <w:pPr>
              <w:pStyle w:val="TableParagraph"/>
              <w:ind w:left="118"/>
              <w:jc w:val="left"/>
              <w:rPr>
                <w:sz w:val="16"/>
              </w:rPr>
            </w:pPr>
            <w:r>
              <w:rPr>
                <w:sz w:val="16"/>
              </w:rPr>
              <w:t>False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Positive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4"/>
                <w:sz w:val="16"/>
              </w:rPr>
              <w:t>Rate</w:t>
            </w:r>
          </w:p>
        </w:tc>
        <w:tc>
          <w:tcPr>
            <w:tcW w:w="1024" w:type="dxa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4"/>
                <w:sz w:val="16"/>
              </w:rPr>
              <w:t>3.2%</w:t>
            </w:r>
          </w:p>
        </w:tc>
        <w:tc>
          <w:tcPr>
            <w:tcW w:w="945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2"/>
                <w:sz w:val="16"/>
              </w:rPr>
              <w:t>0.39%</w:t>
            </w:r>
          </w:p>
        </w:tc>
        <w:tc>
          <w:tcPr>
            <w:tcW w:w="904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rFonts w:ascii="Arial" w:hAnsi="Arial"/>
                <w:i/>
                <w:w w:val="105"/>
                <w:sz w:val="16"/>
              </w:rPr>
              <w:t>−</w:t>
            </w:r>
            <w:r>
              <w:rPr>
                <w:w w:val="105"/>
                <w:sz w:val="16"/>
              </w:rPr>
              <w:t>2.81</w:t>
            </w:r>
            <w:r>
              <w:rPr>
                <w:spacing w:val="28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pp</w:t>
            </w:r>
          </w:p>
        </w:tc>
      </w:tr>
      <w:tr>
        <w:trPr>
          <w:trHeight w:val="177" w:hRule="atLeast"/>
        </w:trPr>
        <w:tc>
          <w:tcPr>
            <w:tcW w:w="1526" w:type="dxa"/>
          </w:tcPr>
          <w:p>
            <w:pPr>
              <w:pStyle w:val="TableParagraph"/>
              <w:ind w:left="118"/>
              <w:jc w:val="left"/>
              <w:rPr>
                <w:sz w:val="16"/>
              </w:rPr>
            </w:pPr>
            <w:r>
              <w:rPr>
                <w:sz w:val="16"/>
              </w:rPr>
              <w:t>Risk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Mitigation</w:t>
            </w:r>
          </w:p>
        </w:tc>
        <w:tc>
          <w:tcPr>
            <w:tcW w:w="1024" w:type="dxa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2"/>
                <w:sz w:val="16"/>
              </w:rPr>
              <w:t>87.9%</w:t>
            </w:r>
          </w:p>
        </w:tc>
        <w:tc>
          <w:tcPr>
            <w:tcW w:w="945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4"/>
                <w:sz w:val="16"/>
              </w:rPr>
              <w:t>100%</w:t>
            </w:r>
          </w:p>
        </w:tc>
        <w:tc>
          <w:tcPr>
            <w:tcW w:w="904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z w:val="16"/>
              </w:rPr>
              <w:t>+12.1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5"/>
                <w:sz w:val="16"/>
              </w:rPr>
              <w:t>pp</w:t>
            </w:r>
          </w:p>
        </w:tc>
      </w:tr>
      <w:tr>
        <w:trPr>
          <w:trHeight w:val="177" w:hRule="atLeast"/>
        </w:trPr>
        <w:tc>
          <w:tcPr>
            <w:tcW w:w="1526" w:type="dxa"/>
          </w:tcPr>
          <w:p>
            <w:pPr>
              <w:pStyle w:val="TableParagraph"/>
              <w:ind w:left="118"/>
              <w:jc w:val="left"/>
              <w:rPr>
                <w:sz w:val="16"/>
              </w:rPr>
            </w:pPr>
            <w:r>
              <w:rPr>
                <w:sz w:val="16"/>
              </w:rPr>
              <w:t>Cost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Efficiency</w:t>
            </w:r>
          </w:p>
        </w:tc>
        <w:tc>
          <w:tcPr>
            <w:tcW w:w="1024" w:type="dxa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2"/>
                <w:sz w:val="16"/>
              </w:rPr>
              <w:t>42.5%</w:t>
            </w:r>
          </w:p>
        </w:tc>
        <w:tc>
          <w:tcPr>
            <w:tcW w:w="945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2"/>
                <w:sz w:val="16"/>
              </w:rPr>
              <w:t>54.32%</w:t>
            </w:r>
          </w:p>
        </w:tc>
        <w:tc>
          <w:tcPr>
            <w:tcW w:w="904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z w:val="16"/>
              </w:rPr>
              <w:t>+11.82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5"/>
                <w:sz w:val="16"/>
              </w:rPr>
              <w:t>pp</w:t>
            </w:r>
          </w:p>
        </w:tc>
      </w:tr>
      <w:tr>
        <w:trPr>
          <w:trHeight w:val="177" w:hRule="atLeast"/>
        </w:trPr>
        <w:tc>
          <w:tcPr>
            <w:tcW w:w="1526" w:type="dxa"/>
          </w:tcPr>
          <w:p>
            <w:pPr>
              <w:pStyle w:val="TableParagraph"/>
              <w:ind w:left="118"/>
              <w:jc w:val="left"/>
              <w:rPr>
                <w:sz w:val="16"/>
              </w:rPr>
            </w:pPr>
            <w:r>
              <w:rPr>
                <w:sz w:val="16"/>
              </w:rPr>
              <w:t>Audit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Coverage</w:t>
            </w:r>
          </w:p>
        </w:tc>
        <w:tc>
          <w:tcPr>
            <w:tcW w:w="1024" w:type="dxa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2"/>
                <w:sz w:val="16"/>
              </w:rPr>
              <w:t>93.8%</w:t>
            </w:r>
          </w:p>
        </w:tc>
        <w:tc>
          <w:tcPr>
            <w:tcW w:w="945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4"/>
                <w:sz w:val="16"/>
              </w:rPr>
              <w:t>100%</w:t>
            </w:r>
          </w:p>
        </w:tc>
        <w:tc>
          <w:tcPr>
            <w:tcW w:w="904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z w:val="16"/>
              </w:rPr>
              <w:t>+6.2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5"/>
                <w:sz w:val="16"/>
              </w:rPr>
              <w:t>pp</w:t>
            </w:r>
          </w:p>
        </w:tc>
      </w:tr>
      <w:tr>
        <w:trPr>
          <w:trHeight w:val="177" w:hRule="atLeast"/>
        </w:trPr>
        <w:tc>
          <w:tcPr>
            <w:tcW w:w="1526" w:type="dxa"/>
          </w:tcPr>
          <w:p>
            <w:pPr>
              <w:pStyle w:val="TableParagraph"/>
              <w:ind w:left="118"/>
              <w:jc w:val="left"/>
              <w:rPr>
                <w:sz w:val="16"/>
              </w:rPr>
            </w:pPr>
            <w:r>
              <w:rPr>
                <w:sz w:val="16"/>
              </w:rPr>
              <w:t>Detection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Layers</w:t>
            </w:r>
          </w:p>
        </w:tc>
        <w:tc>
          <w:tcPr>
            <w:tcW w:w="1024" w:type="dxa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945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904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z w:val="16"/>
              </w:rPr>
              <w:t>—</w:t>
            </w:r>
          </w:p>
        </w:tc>
      </w:tr>
      <w:tr>
        <w:trPr>
          <w:trHeight w:val="177" w:hRule="atLeast"/>
        </w:trPr>
        <w:tc>
          <w:tcPr>
            <w:tcW w:w="1526" w:type="dxa"/>
          </w:tcPr>
          <w:p>
            <w:pPr>
              <w:pStyle w:val="TableParagraph"/>
              <w:ind w:left="118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Scheduling</w:t>
            </w:r>
          </w:p>
        </w:tc>
        <w:tc>
          <w:tcPr>
            <w:tcW w:w="1024" w:type="dxa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2"/>
                <w:sz w:val="16"/>
              </w:rPr>
              <w:t>Q-</w:t>
            </w:r>
            <w:r>
              <w:rPr>
                <w:spacing w:val="-4"/>
                <w:sz w:val="16"/>
              </w:rPr>
              <w:t>only</w:t>
            </w:r>
          </w:p>
        </w:tc>
        <w:tc>
          <w:tcPr>
            <w:tcW w:w="945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2"/>
                <w:sz w:val="16"/>
              </w:rPr>
              <w:t>Hybrid</w:t>
            </w:r>
          </w:p>
        </w:tc>
        <w:tc>
          <w:tcPr>
            <w:tcW w:w="904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z w:val="16"/>
              </w:rPr>
              <w:t>—</w:t>
            </w:r>
          </w:p>
        </w:tc>
      </w:tr>
      <w:tr>
        <w:trPr>
          <w:trHeight w:val="177" w:hRule="atLeast"/>
        </w:trPr>
        <w:tc>
          <w:tcPr>
            <w:tcW w:w="1526" w:type="dxa"/>
          </w:tcPr>
          <w:p>
            <w:pPr>
              <w:pStyle w:val="TableParagraph"/>
              <w:ind w:left="118"/>
              <w:jc w:val="left"/>
              <w:rPr>
                <w:sz w:val="16"/>
              </w:rPr>
            </w:pPr>
            <w:r>
              <w:rPr>
                <w:sz w:val="16"/>
              </w:rPr>
              <w:t>SCADA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Integration</w:t>
            </w:r>
          </w:p>
        </w:tc>
        <w:tc>
          <w:tcPr>
            <w:tcW w:w="1024" w:type="dxa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4"/>
                <w:sz w:val="16"/>
              </w:rPr>
              <w:t>None</w:t>
            </w:r>
          </w:p>
        </w:tc>
        <w:tc>
          <w:tcPr>
            <w:tcW w:w="945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z w:val="16"/>
              </w:rPr>
              <w:t>100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agents</w:t>
            </w:r>
          </w:p>
        </w:tc>
        <w:tc>
          <w:tcPr>
            <w:tcW w:w="904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z w:val="16"/>
              </w:rPr>
              <w:t>—</w:t>
            </w:r>
          </w:p>
        </w:tc>
      </w:tr>
      <w:tr>
        <w:trPr>
          <w:trHeight w:val="177" w:hRule="atLeast"/>
        </w:trPr>
        <w:tc>
          <w:tcPr>
            <w:tcW w:w="1526" w:type="dxa"/>
          </w:tcPr>
          <w:p>
            <w:pPr>
              <w:pStyle w:val="TableParagraph"/>
              <w:ind w:left="118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Explainability</w:t>
            </w:r>
          </w:p>
        </w:tc>
        <w:tc>
          <w:tcPr>
            <w:tcW w:w="1024" w:type="dxa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4"/>
                <w:sz w:val="16"/>
              </w:rPr>
              <w:t>None</w:t>
            </w:r>
          </w:p>
        </w:tc>
        <w:tc>
          <w:tcPr>
            <w:tcW w:w="945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2"/>
                <w:sz w:val="16"/>
              </w:rPr>
              <w:t>Per-feature</w:t>
            </w:r>
          </w:p>
        </w:tc>
        <w:tc>
          <w:tcPr>
            <w:tcW w:w="904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z w:val="16"/>
              </w:rPr>
              <w:t>—</w:t>
            </w:r>
          </w:p>
        </w:tc>
      </w:tr>
    </w:tbl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134"/>
        <w:rPr>
          <w:sz w:val="12"/>
        </w:rPr>
      </w:pPr>
    </w:p>
    <w:p>
      <w:pPr>
        <w:pStyle w:val="ListParagraph"/>
        <w:numPr>
          <w:ilvl w:val="0"/>
          <w:numId w:val="8"/>
        </w:numPr>
        <w:tabs>
          <w:tab w:pos="491" w:val="left" w:leader="none"/>
        </w:tabs>
        <w:spacing w:line="240" w:lineRule="auto" w:before="0" w:after="0"/>
        <w:ind w:left="491" w:right="0" w:hanging="292"/>
        <w:jc w:val="both"/>
        <w:rPr>
          <w:i/>
          <w:sz w:val="20"/>
        </w:rPr>
      </w:pPr>
      <w:r>
        <w:rPr>
          <w:i/>
          <w:sz w:val="20"/>
        </w:rPr>
        <w:t>Five-Method</w:t>
      </w:r>
      <w:r>
        <w:rPr>
          <w:i/>
          <w:spacing w:val="2"/>
          <w:sz w:val="20"/>
        </w:rPr>
        <w:t> </w:t>
      </w:r>
      <w:r>
        <w:rPr>
          <w:i/>
          <w:sz w:val="20"/>
        </w:rPr>
        <w:t>Comparative</w:t>
      </w:r>
      <w:r>
        <w:rPr>
          <w:i/>
          <w:spacing w:val="3"/>
          <w:sz w:val="20"/>
        </w:rPr>
        <w:t> </w:t>
      </w:r>
      <w:r>
        <w:rPr>
          <w:i/>
          <w:spacing w:val="-2"/>
          <w:sz w:val="20"/>
        </w:rPr>
        <w:t>Study</w:t>
      </w:r>
    </w:p>
    <w:p>
      <w:pPr>
        <w:pStyle w:val="BodyText"/>
        <w:spacing w:line="249" w:lineRule="auto" w:before="79"/>
        <w:ind w:left="199" w:right="257" w:firstLine="199"/>
        <w:jc w:val="both"/>
      </w:pPr>
      <w:r>
        <w:rPr/>
        <w:t>To rigorously validate the proposed multi-layer </w:t>
      </w:r>
      <w:r>
        <w:rPr/>
        <w:t>detection approach,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five-method</w:t>
      </w:r>
      <w:r>
        <w:rPr>
          <w:spacing w:val="-11"/>
        </w:rPr>
        <w:t> </w:t>
      </w:r>
      <w:r>
        <w:rPr/>
        <w:t>comparative</w:t>
      </w:r>
      <w:r>
        <w:rPr>
          <w:spacing w:val="-11"/>
        </w:rPr>
        <w:t> </w:t>
      </w:r>
      <w:r>
        <w:rPr/>
        <w:t>study</w:t>
      </w:r>
      <w:r>
        <w:rPr>
          <w:spacing w:val="-11"/>
        </w:rPr>
        <w:t> </w:t>
      </w:r>
      <w:r>
        <w:rPr/>
        <w:t>was</w:t>
      </w:r>
      <w:r>
        <w:rPr>
          <w:spacing w:val="-11"/>
        </w:rPr>
        <w:t> </w:t>
      </w:r>
      <w:r>
        <w:rPr/>
        <w:t>conducted.</w:t>
      </w:r>
      <w:r>
        <w:rPr>
          <w:spacing w:val="-11"/>
        </w:rPr>
        <w:t> </w:t>
      </w:r>
      <w:r>
        <w:rPr/>
        <w:t>All five methods were evaluated on identical telemetry sequences using identical evaluation protocols. Table III presents the complete per-step classification results.</w:t>
      </w:r>
    </w:p>
    <w:p>
      <w:pPr>
        <w:pStyle w:val="BodyText"/>
        <w:spacing w:before="58"/>
      </w:pPr>
    </w:p>
    <w:p>
      <w:pPr>
        <w:spacing w:line="182" w:lineRule="exact" w:before="0"/>
        <w:ind w:left="0" w:right="58" w:firstLine="0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5"/>
          <w:sz w:val="16"/>
        </w:rPr>
        <w:t>III</w:t>
      </w:r>
    </w:p>
    <w:p>
      <w:pPr>
        <w:spacing w:line="182" w:lineRule="exact" w:before="0"/>
        <w:ind w:left="0" w:right="58" w:firstLine="0"/>
        <w:jc w:val="center"/>
        <w:rPr>
          <w:sz w:val="16"/>
        </w:rPr>
      </w:pPr>
      <w:r>
        <w:rPr>
          <w:smallCaps/>
          <w:spacing w:val="2"/>
          <w:sz w:val="16"/>
        </w:rPr>
        <w:t>Five-Method</w:t>
      </w:r>
      <w:r>
        <w:rPr>
          <w:smallCaps/>
          <w:spacing w:val="39"/>
          <w:sz w:val="16"/>
        </w:rPr>
        <w:t> </w:t>
      </w:r>
      <w:r>
        <w:rPr>
          <w:smallCaps/>
          <w:spacing w:val="2"/>
          <w:sz w:val="16"/>
        </w:rPr>
        <w:t>Per-Step</w:t>
      </w:r>
      <w:r>
        <w:rPr>
          <w:smallCaps/>
          <w:spacing w:val="40"/>
          <w:sz w:val="16"/>
        </w:rPr>
        <w:t> </w:t>
      </w:r>
      <w:r>
        <w:rPr>
          <w:smallCaps/>
          <w:spacing w:val="2"/>
          <w:sz w:val="16"/>
        </w:rPr>
        <w:t>Classification</w:t>
      </w:r>
      <w:r>
        <w:rPr>
          <w:smallCaps/>
          <w:spacing w:val="39"/>
          <w:sz w:val="16"/>
        </w:rPr>
        <w:t> </w:t>
      </w:r>
      <w:r>
        <w:rPr>
          <w:smallCaps/>
          <w:spacing w:val="-2"/>
          <w:sz w:val="16"/>
        </w:rPr>
        <w:t>Comparison</w:t>
      </w:r>
    </w:p>
    <w:p>
      <w:pPr>
        <w:pStyle w:val="BodyText"/>
        <w:spacing w:before="4"/>
        <w:rPr>
          <w:sz w:val="15"/>
        </w:rPr>
      </w:pPr>
    </w:p>
    <w:tbl>
      <w:tblPr>
        <w:tblW w:w="0" w:type="auto"/>
        <w:jc w:val="left"/>
        <w:tblInd w:w="5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4"/>
        <w:gridCol w:w="597"/>
        <w:gridCol w:w="597"/>
        <w:gridCol w:w="597"/>
        <w:gridCol w:w="597"/>
        <w:gridCol w:w="597"/>
      </w:tblGrid>
      <w:tr>
        <w:trPr>
          <w:trHeight w:val="177" w:hRule="atLeast"/>
        </w:trPr>
        <w:tc>
          <w:tcPr>
            <w:tcW w:w="1304" w:type="dxa"/>
          </w:tcPr>
          <w:p>
            <w:pPr>
              <w:pStyle w:val="TableParagraph"/>
              <w:ind w:left="118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Method</w:t>
            </w:r>
          </w:p>
        </w:tc>
        <w:tc>
          <w:tcPr>
            <w:tcW w:w="597" w:type="dxa"/>
          </w:tcPr>
          <w:p>
            <w:pPr>
              <w:pStyle w:val="TableParagraph"/>
              <w:ind w:right="6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Acc.</w:t>
            </w:r>
          </w:p>
        </w:tc>
        <w:tc>
          <w:tcPr>
            <w:tcW w:w="597" w:type="dxa"/>
          </w:tcPr>
          <w:p>
            <w:pPr>
              <w:pStyle w:val="TableParagraph"/>
              <w:ind w:right="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FPR</w:t>
            </w:r>
          </w:p>
        </w:tc>
        <w:tc>
          <w:tcPr>
            <w:tcW w:w="597" w:type="dxa"/>
          </w:tcPr>
          <w:p>
            <w:pPr>
              <w:pStyle w:val="TableParagraph"/>
              <w:ind w:right="3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Rec.</w:t>
            </w:r>
          </w:p>
        </w:tc>
        <w:tc>
          <w:tcPr>
            <w:tcW w:w="597" w:type="dxa"/>
          </w:tcPr>
          <w:p>
            <w:pPr>
              <w:pStyle w:val="TableParagraph"/>
              <w:ind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Prec.</w:t>
            </w:r>
          </w:p>
        </w:tc>
        <w:tc>
          <w:tcPr>
            <w:tcW w:w="597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F1</w:t>
            </w:r>
          </w:p>
        </w:tc>
      </w:tr>
      <w:tr>
        <w:trPr>
          <w:trHeight w:val="177" w:hRule="atLeast"/>
        </w:trPr>
        <w:tc>
          <w:tcPr>
            <w:tcW w:w="1304" w:type="dxa"/>
          </w:tcPr>
          <w:p>
            <w:pPr>
              <w:pStyle w:val="TableParagraph"/>
              <w:ind w:left="118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Deviation-</w:t>
            </w:r>
            <w:r>
              <w:rPr>
                <w:spacing w:val="-4"/>
                <w:sz w:val="16"/>
              </w:rPr>
              <w:t>Only</w:t>
            </w:r>
          </w:p>
        </w:tc>
        <w:tc>
          <w:tcPr>
            <w:tcW w:w="597" w:type="dxa"/>
          </w:tcPr>
          <w:p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81.40</w:t>
            </w:r>
          </w:p>
        </w:tc>
        <w:tc>
          <w:tcPr>
            <w:tcW w:w="597" w:type="dxa"/>
          </w:tcPr>
          <w:p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4"/>
                <w:sz w:val="16"/>
              </w:rPr>
              <w:t>9.06</w:t>
            </w:r>
          </w:p>
        </w:tc>
        <w:tc>
          <w:tcPr>
            <w:tcW w:w="597" w:type="dxa"/>
          </w:tcPr>
          <w:p>
            <w:pPr>
              <w:pStyle w:val="TableParagraph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36.89</w:t>
            </w:r>
          </w:p>
        </w:tc>
        <w:tc>
          <w:tcPr>
            <w:tcW w:w="597" w:type="dxa"/>
          </w:tcPr>
          <w:p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46.58</w:t>
            </w:r>
          </w:p>
        </w:tc>
        <w:tc>
          <w:tcPr>
            <w:tcW w:w="597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41.18</w:t>
            </w:r>
          </w:p>
        </w:tc>
      </w:tr>
      <w:tr>
        <w:trPr>
          <w:trHeight w:val="177" w:hRule="atLeast"/>
        </w:trPr>
        <w:tc>
          <w:tcPr>
            <w:tcW w:w="1304" w:type="dxa"/>
          </w:tcPr>
          <w:p>
            <w:pPr>
              <w:pStyle w:val="TableParagraph"/>
              <w:ind w:left="118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LSTM-</w:t>
            </w:r>
            <w:r>
              <w:rPr>
                <w:spacing w:val="-4"/>
                <w:sz w:val="16"/>
              </w:rPr>
              <w:t>Only</w:t>
            </w:r>
          </w:p>
        </w:tc>
        <w:tc>
          <w:tcPr>
            <w:tcW w:w="597" w:type="dxa"/>
          </w:tcPr>
          <w:p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86.35</w:t>
            </w:r>
          </w:p>
        </w:tc>
        <w:tc>
          <w:tcPr>
            <w:tcW w:w="597" w:type="dxa"/>
          </w:tcPr>
          <w:p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  <w:tc>
          <w:tcPr>
            <w:tcW w:w="597" w:type="dxa"/>
          </w:tcPr>
          <w:p>
            <w:pPr>
              <w:pStyle w:val="TableParagraph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22.67</w:t>
            </w:r>
          </w:p>
        </w:tc>
        <w:tc>
          <w:tcPr>
            <w:tcW w:w="597" w:type="dxa"/>
          </w:tcPr>
          <w:p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597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36.96</w:t>
            </w:r>
          </w:p>
        </w:tc>
      </w:tr>
      <w:tr>
        <w:trPr>
          <w:trHeight w:val="177" w:hRule="atLeast"/>
        </w:trPr>
        <w:tc>
          <w:tcPr>
            <w:tcW w:w="1304" w:type="dxa"/>
          </w:tcPr>
          <w:p>
            <w:pPr>
              <w:pStyle w:val="TableParagraph"/>
              <w:ind w:left="118"/>
              <w:jc w:val="left"/>
              <w:rPr>
                <w:sz w:val="16"/>
              </w:rPr>
            </w:pPr>
            <w:r>
              <w:rPr>
                <w:sz w:val="16"/>
              </w:rPr>
              <w:t>Isolation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Forest</w:t>
            </w:r>
          </w:p>
        </w:tc>
        <w:tc>
          <w:tcPr>
            <w:tcW w:w="597" w:type="dxa"/>
          </w:tcPr>
          <w:p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68.85</w:t>
            </w:r>
          </w:p>
        </w:tc>
        <w:tc>
          <w:tcPr>
            <w:tcW w:w="597" w:type="dxa"/>
          </w:tcPr>
          <w:p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2"/>
                <w:sz w:val="16"/>
              </w:rPr>
              <w:t>27.95</w:t>
            </w:r>
          </w:p>
        </w:tc>
        <w:tc>
          <w:tcPr>
            <w:tcW w:w="597" w:type="dxa"/>
          </w:tcPr>
          <w:p>
            <w:pPr>
              <w:pStyle w:val="TableParagraph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53.92</w:t>
            </w:r>
          </w:p>
        </w:tc>
        <w:tc>
          <w:tcPr>
            <w:tcW w:w="597" w:type="dxa"/>
          </w:tcPr>
          <w:p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29.25</w:t>
            </w:r>
          </w:p>
        </w:tc>
        <w:tc>
          <w:tcPr>
            <w:tcW w:w="597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37.92</w:t>
            </w:r>
          </w:p>
        </w:tc>
      </w:tr>
      <w:tr>
        <w:trPr>
          <w:trHeight w:val="177" w:hRule="atLeast"/>
        </w:trPr>
        <w:tc>
          <w:tcPr>
            <w:tcW w:w="1304" w:type="dxa"/>
          </w:tcPr>
          <w:p>
            <w:pPr>
              <w:pStyle w:val="TableParagraph"/>
              <w:ind w:left="118"/>
              <w:jc w:val="left"/>
              <w:rPr>
                <w:sz w:val="16"/>
              </w:rPr>
            </w:pPr>
            <w:r>
              <w:rPr>
                <w:sz w:val="16"/>
              </w:rPr>
              <w:t>One-Class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5"/>
                <w:sz w:val="16"/>
              </w:rPr>
              <w:t>SVM</w:t>
            </w:r>
          </w:p>
        </w:tc>
        <w:tc>
          <w:tcPr>
            <w:tcW w:w="597" w:type="dxa"/>
          </w:tcPr>
          <w:p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46.35</w:t>
            </w:r>
          </w:p>
        </w:tc>
        <w:tc>
          <w:tcPr>
            <w:tcW w:w="597" w:type="dxa"/>
          </w:tcPr>
          <w:p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2"/>
                <w:sz w:val="16"/>
              </w:rPr>
              <w:t>59.99</w:t>
            </w:r>
          </w:p>
        </w:tc>
        <w:tc>
          <w:tcPr>
            <w:tcW w:w="597" w:type="dxa"/>
          </w:tcPr>
          <w:p>
            <w:pPr>
              <w:pStyle w:val="TableParagraph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75.93</w:t>
            </w:r>
          </w:p>
        </w:tc>
        <w:tc>
          <w:tcPr>
            <w:tcW w:w="597" w:type="dxa"/>
          </w:tcPr>
          <w:p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21.33</w:t>
            </w:r>
          </w:p>
        </w:tc>
        <w:tc>
          <w:tcPr>
            <w:tcW w:w="597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33.31</w:t>
            </w:r>
          </w:p>
        </w:tc>
      </w:tr>
      <w:tr>
        <w:trPr>
          <w:trHeight w:val="177" w:hRule="atLeast"/>
        </w:trPr>
        <w:tc>
          <w:tcPr>
            <w:tcW w:w="1304" w:type="dxa"/>
          </w:tcPr>
          <w:p>
            <w:pPr>
              <w:pStyle w:val="TableParagraph"/>
              <w:ind w:left="118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Proposed</w:t>
            </w:r>
          </w:p>
        </w:tc>
        <w:tc>
          <w:tcPr>
            <w:tcW w:w="597" w:type="dxa"/>
          </w:tcPr>
          <w:p>
            <w:pPr>
              <w:pStyle w:val="TableParagraph"/>
              <w:ind w:right="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94.23</w:t>
            </w:r>
          </w:p>
        </w:tc>
        <w:tc>
          <w:tcPr>
            <w:tcW w:w="597" w:type="dxa"/>
          </w:tcPr>
          <w:p>
            <w:pPr>
              <w:pStyle w:val="TableParagraph"/>
              <w:ind w:right="5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1.81</w:t>
            </w:r>
          </w:p>
        </w:tc>
        <w:tc>
          <w:tcPr>
            <w:tcW w:w="597" w:type="dxa"/>
          </w:tcPr>
          <w:p>
            <w:pPr>
              <w:pStyle w:val="TableParagraph"/>
              <w:ind w:right="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75.76</w:t>
            </w:r>
          </w:p>
        </w:tc>
        <w:tc>
          <w:tcPr>
            <w:tcW w:w="597" w:type="dxa"/>
          </w:tcPr>
          <w:p>
            <w:pPr>
              <w:pStyle w:val="TableParagraph"/>
              <w:ind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89.95</w:t>
            </w:r>
          </w:p>
        </w:tc>
        <w:tc>
          <w:tcPr>
            <w:tcW w:w="597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82.25</w:t>
            </w:r>
          </w:p>
        </w:tc>
      </w:tr>
    </w:tbl>
    <w:p>
      <w:pPr>
        <w:spacing w:before="0"/>
        <w:ind w:left="654" w:right="0" w:firstLine="0"/>
        <w:jc w:val="left"/>
        <w:rPr>
          <w:sz w:val="16"/>
        </w:rPr>
      </w:pPr>
      <w:r>
        <w:rPr>
          <w:sz w:val="16"/>
        </w:rPr>
        <w:t>All</w:t>
      </w:r>
      <w:r>
        <w:rPr>
          <w:spacing w:val="10"/>
          <w:sz w:val="16"/>
        </w:rPr>
        <w:t> </w:t>
      </w:r>
      <w:r>
        <w:rPr>
          <w:sz w:val="16"/>
        </w:rPr>
        <w:t>values</w:t>
      </w:r>
      <w:r>
        <w:rPr>
          <w:spacing w:val="10"/>
          <w:sz w:val="16"/>
        </w:rPr>
        <w:t> </w:t>
      </w:r>
      <w:r>
        <w:rPr>
          <w:sz w:val="16"/>
        </w:rPr>
        <w:t>are</w:t>
      </w:r>
      <w:r>
        <w:rPr>
          <w:spacing w:val="10"/>
          <w:sz w:val="16"/>
        </w:rPr>
        <w:t> </w:t>
      </w:r>
      <w:r>
        <w:rPr>
          <w:sz w:val="16"/>
        </w:rPr>
        <w:t>percentages</w:t>
      </w:r>
      <w:r>
        <w:rPr>
          <w:spacing w:val="10"/>
          <w:sz w:val="16"/>
        </w:rPr>
        <w:t> </w:t>
      </w:r>
      <w:r>
        <w:rPr>
          <w:spacing w:val="-4"/>
          <w:sz w:val="16"/>
        </w:rPr>
        <w:t>(%).</w:t>
      </w:r>
    </w:p>
    <w:p>
      <w:pPr>
        <w:pStyle w:val="BodyText"/>
      </w:pPr>
    </w:p>
    <w:p>
      <w:pPr>
        <w:pStyle w:val="BodyText"/>
        <w:spacing w:before="117"/>
      </w:pPr>
      <w:r>
        <w:rPr/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3962120</wp:posOffset>
            </wp:positionH>
            <wp:positionV relativeFrom="paragraph">
              <wp:posOffset>235663</wp:posOffset>
            </wp:positionV>
            <wp:extent cx="3232403" cy="1189481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403" cy="1189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sz w:val="16"/>
        </w:rPr>
      </w:pPr>
    </w:p>
    <w:p>
      <w:pPr>
        <w:spacing w:line="232" w:lineRule="auto" w:before="0"/>
        <w:ind w:left="199" w:right="257" w:firstLine="0"/>
        <w:jc w:val="both"/>
        <w:rPr>
          <w:sz w:val="16"/>
        </w:rPr>
      </w:pPr>
      <w:r>
        <w:rPr>
          <w:sz w:val="16"/>
        </w:rPr>
        <w:t>Fig. 6.</w:t>
      </w:r>
      <w:r>
        <w:rPr>
          <w:spacing w:val="40"/>
          <w:sz w:val="16"/>
        </w:rPr>
        <w:t> </w:t>
      </w:r>
      <w:r>
        <w:rPr>
          <w:sz w:val="16"/>
        </w:rPr>
        <w:t>Five-method comparison: per-step accuracy and F1 score for all</w:t>
      </w:r>
      <w:r>
        <w:rPr>
          <w:spacing w:val="40"/>
          <w:sz w:val="16"/>
        </w:rPr>
        <w:t> </w:t>
      </w:r>
      <w:r>
        <w:rPr>
          <w:sz w:val="16"/>
        </w:rPr>
        <w:t>evaluated methods. The proposed multi-layer system achieves the </w:t>
      </w:r>
      <w:r>
        <w:rPr>
          <w:sz w:val="16"/>
        </w:rPr>
        <w:t>highest</w:t>
      </w:r>
      <w:r>
        <w:rPr>
          <w:spacing w:val="40"/>
          <w:sz w:val="16"/>
        </w:rPr>
        <w:t> </w:t>
      </w:r>
      <w:r>
        <w:rPr>
          <w:sz w:val="16"/>
        </w:rPr>
        <w:t>values in both dimensions.</w:t>
      </w:r>
    </w:p>
    <w:p>
      <w:pPr>
        <w:pStyle w:val="BodyText"/>
        <w:spacing w:before="4"/>
        <w:rPr>
          <w:sz w:val="16"/>
        </w:rPr>
      </w:pPr>
    </w:p>
    <w:p>
      <w:pPr>
        <w:pStyle w:val="BodyText"/>
        <w:spacing w:line="249" w:lineRule="auto"/>
        <w:ind w:left="199" w:right="257" w:firstLine="199"/>
        <w:jc w:val="both"/>
      </w:pPr>
      <w:r>
        <w:rPr/>
        <w:t>Fig. 6 and Fig. 7 visualise the comparative results. </w:t>
      </w:r>
      <w:r>
        <w:rPr/>
        <w:t>The deviation-only baseline (corresponding to the single-layer ap-proach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base</w:t>
      </w:r>
      <w:r>
        <w:rPr>
          <w:spacing w:val="40"/>
        </w:rPr>
        <w:t> </w:t>
      </w:r>
      <w:r>
        <w:rPr/>
        <w:t>paper</w:t>
      </w:r>
      <w:r>
        <w:rPr>
          <w:spacing w:val="40"/>
        </w:rPr>
        <w:t> </w:t>
      </w:r>
      <w:r>
        <w:rPr/>
        <w:t>[17])</w:t>
      </w:r>
      <w:r>
        <w:rPr>
          <w:spacing w:val="40"/>
        </w:rPr>
        <w:t> </w:t>
      </w:r>
      <w:r>
        <w:rPr/>
        <w:t>achieves</w:t>
      </w:r>
      <w:r>
        <w:rPr>
          <w:spacing w:val="40"/>
        </w:rPr>
        <w:t> </w:t>
      </w:r>
      <w:r>
        <w:rPr/>
        <w:t>81.40%</w:t>
      </w:r>
      <w:r>
        <w:rPr>
          <w:spacing w:val="40"/>
        </w:rPr>
        <w:t> </w:t>
      </w:r>
      <w:r>
        <w:rPr/>
        <w:t>accuracy but suffers a 9.06% false positive rate because it cannot distinguish normal load transients from genuine anomalies without</w:t>
      </w:r>
      <w:r>
        <w:rPr>
          <w:spacing w:val="23"/>
        </w:rPr>
        <w:t> </w:t>
      </w:r>
      <w:r>
        <w:rPr/>
        <w:t>temporal</w:t>
      </w:r>
      <w:r>
        <w:rPr>
          <w:spacing w:val="23"/>
        </w:rPr>
        <w:t> </w:t>
      </w:r>
      <w:r>
        <w:rPr/>
        <w:t>context.</w:t>
      </w:r>
      <w:r>
        <w:rPr>
          <w:spacing w:val="23"/>
        </w:rPr>
        <w:t> </w:t>
      </w:r>
      <w:r>
        <w:rPr/>
        <w:t>Its</w:t>
      </w:r>
      <w:r>
        <w:rPr>
          <w:spacing w:val="23"/>
        </w:rPr>
        <w:t> </w:t>
      </w:r>
      <w:r>
        <w:rPr/>
        <w:t>recall</w:t>
      </w:r>
      <w:r>
        <w:rPr>
          <w:spacing w:val="23"/>
        </w:rPr>
        <w:t> </w:t>
      </w:r>
      <w:r>
        <w:rPr/>
        <w:t>of</w:t>
      </w:r>
      <w:r>
        <w:rPr>
          <w:spacing w:val="23"/>
        </w:rPr>
        <w:t> </w:t>
      </w:r>
      <w:r>
        <w:rPr/>
        <w:t>36.89%</w:t>
      </w:r>
      <w:r>
        <w:rPr>
          <w:spacing w:val="23"/>
        </w:rPr>
        <w:t> </w:t>
      </w:r>
      <w:r>
        <w:rPr/>
        <w:t>indicates</w:t>
      </w:r>
      <w:r>
        <w:rPr>
          <w:spacing w:val="23"/>
        </w:rPr>
        <w:t> </w:t>
      </w:r>
      <w:r>
        <w:rPr/>
        <w:t>that it misses nearly two-thirds of actual anomalies.</w:t>
      </w:r>
    </w:p>
    <w:p>
      <w:pPr>
        <w:pStyle w:val="BodyText"/>
        <w:spacing w:line="249" w:lineRule="auto" w:before="1"/>
        <w:ind w:left="199" w:right="257" w:firstLine="199"/>
        <w:jc w:val="both"/>
      </w:pPr>
      <w:r>
        <w:rPr/>
        <w:t>The</w:t>
      </w:r>
      <w:r>
        <w:rPr>
          <w:spacing w:val="31"/>
        </w:rPr>
        <w:t> </w:t>
      </w:r>
      <w:r>
        <w:rPr/>
        <w:t>LSTM-only</w:t>
      </w:r>
      <w:r>
        <w:rPr>
          <w:spacing w:val="31"/>
        </w:rPr>
        <w:t> </w:t>
      </w:r>
      <w:r>
        <w:rPr/>
        <w:t>baseline</w:t>
      </w:r>
      <w:r>
        <w:rPr>
          <w:spacing w:val="31"/>
        </w:rPr>
        <w:t> </w:t>
      </w:r>
      <w:r>
        <w:rPr/>
        <w:t>achieves</w:t>
      </w:r>
      <w:r>
        <w:rPr>
          <w:spacing w:val="31"/>
        </w:rPr>
        <w:t> </w:t>
      </w:r>
      <w:r>
        <w:rPr/>
        <w:t>86.35%</w:t>
      </w:r>
      <w:r>
        <w:rPr>
          <w:spacing w:val="31"/>
        </w:rPr>
        <w:t> </w:t>
      </w:r>
      <w:r>
        <w:rPr/>
        <w:t>accuracy</w:t>
      </w:r>
      <w:r>
        <w:rPr>
          <w:spacing w:val="31"/>
        </w:rPr>
        <w:t> </w:t>
      </w:r>
      <w:r>
        <w:rPr/>
        <w:t>with a zero false positive rate but recalls only 22.67% of actual anomalies. The perfect precision (100%) confirms that when the LSTM does flag an anomaly, it is always correct; but the low</w:t>
      </w:r>
      <w:r>
        <w:rPr>
          <w:spacing w:val="-12"/>
        </w:rPr>
        <w:t> </w:t>
      </w:r>
      <w:r>
        <w:rPr/>
        <w:t>recall</w:t>
      </w:r>
      <w:r>
        <w:rPr>
          <w:spacing w:val="-12"/>
        </w:rPr>
        <w:t> </w:t>
      </w:r>
      <w:r>
        <w:rPr/>
        <w:t>demonstrates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temporal</w:t>
      </w:r>
      <w:r>
        <w:rPr>
          <w:spacing w:val="-12"/>
        </w:rPr>
        <w:t> </w:t>
      </w:r>
      <w:r>
        <w:rPr/>
        <w:t>modelling</w:t>
      </w:r>
      <w:r>
        <w:rPr>
          <w:spacing w:val="-12"/>
        </w:rPr>
        <w:t> </w:t>
      </w:r>
      <w:r>
        <w:rPr/>
        <w:t>alone,</w:t>
      </w:r>
      <w:r>
        <w:rPr>
          <w:spacing w:val="-12"/>
        </w:rPr>
        <w:t> </w:t>
      </w:r>
      <w:r>
        <w:rPr/>
        <w:t>without statistical deviation context, is insufficient for comprehensive </w:t>
      </w:r>
      <w:r>
        <w:rPr>
          <w:spacing w:val="-2"/>
        </w:rPr>
        <w:t>detection.</w:t>
      </w:r>
    </w:p>
    <w:p>
      <w:pPr>
        <w:pStyle w:val="BodyText"/>
        <w:spacing w:after="0" w:line="249" w:lineRule="auto"/>
        <w:jc w:val="both"/>
        <w:sectPr>
          <w:pgSz w:w="12240" w:h="15840"/>
          <w:pgMar w:top="92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before="4"/>
        <w:rPr>
          <w:sz w:val="4"/>
        </w:rPr>
      </w:pPr>
    </w:p>
    <w:p>
      <w:pPr>
        <w:spacing w:line="240" w:lineRule="auto"/>
        <w:ind w:left="259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168396" cy="2468308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8396" cy="246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4"/>
        <w:rPr>
          <w:sz w:val="16"/>
        </w:rPr>
      </w:pPr>
    </w:p>
    <w:p>
      <w:pPr>
        <w:spacing w:line="232" w:lineRule="auto" w:before="0"/>
        <w:ind w:left="259" w:right="0" w:firstLine="0"/>
        <w:jc w:val="both"/>
        <w:rPr>
          <w:sz w:val="16"/>
        </w:rPr>
      </w:pPr>
      <w:r>
        <w:rPr>
          <w:sz w:val="16"/>
        </w:rPr>
        <w:t>Fig.</w:t>
      </w:r>
      <w:r>
        <w:rPr>
          <w:spacing w:val="-9"/>
          <w:sz w:val="16"/>
        </w:rPr>
        <w:t> </w:t>
      </w:r>
      <w:r>
        <w:rPr>
          <w:sz w:val="16"/>
        </w:rPr>
        <w:t>7.</w:t>
      </w:r>
      <w:r>
        <w:rPr>
          <w:spacing w:val="22"/>
          <w:sz w:val="16"/>
        </w:rPr>
        <w:t> </w:t>
      </w:r>
      <w:r>
        <w:rPr>
          <w:sz w:val="16"/>
        </w:rPr>
        <w:t>Radar</w:t>
      </w:r>
      <w:r>
        <w:rPr>
          <w:spacing w:val="-9"/>
          <w:sz w:val="16"/>
        </w:rPr>
        <w:t> </w:t>
      </w:r>
      <w:r>
        <w:rPr>
          <w:sz w:val="16"/>
        </w:rPr>
        <w:t>profile</w:t>
      </w:r>
      <w:r>
        <w:rPr>
          <w:spacing w:val="-9"/>
          <w:sz w:val="16"/>
        </w:rPr>
        <w:t> </w:t>
      </w:r>
      <w:r>
        <w:rPr>
          <w:sz w:val="16"/>
        </w:rPr>
        <w:t>comparison</w:t>
      </w:r>
      <w:r>
        <w:rPr>
          <w:spacing w:val="-9"/>
          <w:sz w:val="16"/>
        </w:rPr>
        <w:t> </w:t>
      </w:r>
      <w:r>
        <w:rPr>
          <w:sz w:val="16"/>
        </w:rPr>
        <w:t>of</w:t>
      </w:r>
      <w:r>
        <w:rPr>
          <w:spacing w:val="-9"/>
          <w:sz w:val="16"/>
        </w:rPr>
        <w:t> </w:t>
      </w:r>
      <w:r>
        <w:rPr>
          <w:sz w:val="16"/>
        </w:rPr>
        <w:t>all</w:t>
      </w:r>
      <w:r>
        <w:rPr>
          <w:spacing w:val="-9"/>
          <w:sz w:val="16"/>
        </w:rPr>
        <w:t> </w:t>
      </w:r>
      <w:r>
        <w:rPr>
          <w:sz w:val="16"/>
        </w:rPr>
        <w:t>five</w:t>
      </w:r>
      <w:r>
        <w:rPr>
          <w:spacing w:val="-9"/>
          <w:sz w:val="16"/>
        </w:rPr>
        <w:t> </w:t>
      </w:r>
      <w:r>
        <w:rPr>
          <w:sz w:val="16"/>
        </w:rPr>
        <w:t>detection</w:t>
      </w:r>
      <w:r>
        <w:rPr>
          <w:spacing w:val="-9"/>
          <w:sz w:val="16"/>
        </w:rPr>
        <w:t> </w:t>
      </w:r>
      <w:r>
        <w:rPr>
          <w:sz w:val="16"/>
        </w:rPr>
        <w:t>methods</w:t>
      </w:r>
      <w:r>
        <w:rPr>
          <w:spacing w:val="-9"/>
          <w:sz w:val="16"/>
        </w:rPr>
        <w:t> </w:t>
      </w:r>
      <w:r>
        <w:rPr>
          <w:sz w:val="16"/>
        </w:rPr>
        <w:t>across</w:t>
      </w:r>
      <w:r>
        <w:rPr>
          <w:spacing w:val="-9"/>
          <w:sz w:val="16"/>
        </w:rPr>
        <w:t> </w:t>
      </w:r>
      <w:r>
        <w:rPr>
          <w:sz w:val="16"/>
        </w:rPr>
        <w:t>accuracy,</w:t>
      </w:r>
      <w:r>
        <w:rPr>
          <w:spacing w:val="40"/>
          <w:sz w:val="16"/>
        </w:rPr>
        <w:t> </w:t>
      </w:r>
      <w:r>
        <w:rPr>
          <w:sz w:val="16"/>
        </w:rPr>
        <w:t>recall,</w:t>
      </w:r>
      <w:r>
        <w:rPr>
          <w:spacing w:val="-8"/>
          <w:sz w:val="16"/>
        </w:rPr>
        <w:t> </w:t>
      </w:r>
      <w:r>
        <w:rPr>
          <w:sz w:val="16"/>
        </w:rPr>
        <w:t>precision,</w:t>
      </w:r>
      <w:r>
        <w:rPr>
          <w:spacing w:val="-8"/>
          <w:sz w:val="16"/>
        </w:rPr>
        <w:t> </w:t>
      </w:r>
      <w:r>
        <w:rPr>
          <w:sz w:val="16"/>
        </w:rPr>
        <w:t>F1</w:t>
      </w:r>
      <w:r>
        <w:rPr>
          <w:spacing w:val="-8"/>
          <w:sz w:val="16"/>
        </w:rPr>
        <w:t> </w:t>
      </w:r>
      <w:r>
        <w:rPr>
          <w:sz w:val="16"/>
        </w:rPr>
        <w:t>score,</w:t>
      </w:r>
      <w:r>
        <w:rPr>
          <w:spacing w:val="-8"/>
          <w:sz w:val="16"/>
        </w:rPr>
        <w:t> </w:t>
      </w:r>
      <w:r>
        <w:rPr>
          <w:sz w:val="16"/>
        </w:rPr>
        <w:t>and</w:t>
      </w:r>
      <w:r>
        <w:rPr>
          <w:spacing w:val="-8"/>
          <w:sz w:val="16"/>
        </w:rPr>
        <w:t> </w:t>
      </w:r>
      <w:r>
        <w:rPr>
          <w:sz w:val="16"/>
        </w:rPr>
        <w:t>inverse</w:t>
      </w:r>
      <w:r>
        <w:rPr>
          <w:spacing w:val="-8"/>
          <w:sz w:val="16"/>
        </w:rPr>
        <w:t> </w:t>
      </w:r>
      <w:r>
        <w:rPr>
          <w:sz w:val="16"/>
        </w:rPr>
        <w:t>false</w:t>
      </w:r>
      <w:r>
        <w:rPr>
          <w:spacing w:val="-8"/>
          <w:sz w:val="16"/>
        </w:rPr>
        <w:t> </w:t>
      </w:r>
      <w:r>
        <w:rPr>
          <w:sz w:val="16"/>
        </w:rPr>
        <w:t>positive</w:t>
      </w:r>
      <w:r>
        <w:rPr>
          <w:spacing w:val="-8"/>
          <w:sz w:val="16"/>
        </w:rPr>
        <w:t> </w:t>
      </w:r>
      <w:r>
        <w:rPr>
          <w:sz w:val="16"/>
        </w:rPr>
        <w:t>rate.</w:t>
      </w:r>
      <w:r>
        <w:rPr>
          <w:spacing w:val="-8"/>
          <w:sz w:val="16"/>
        </w:rPr>
        <w:t> </w:t>
      </w:r>
      <w:r>
        <w:rPr>
          <w:sz w:val="16"/>
        </w:rPr>
        <w:t>The</w:t>
      </w:r>
      <w:r>
        <w:rPr>
          <w:spacing w:val="-8"/>
          <w:sz w:val="16"/>
        </w:rPr>
        <w:t> </w:t>
      </w:r>
      <w:r>
        <w:rPr>
          <w:sz w:val="16"/>
        </w:rPr>
        <w:t>proposed</w:t>
      </w:r>
      <w:r>
        <w:rPr>
          <w:spacing w:val="-8"/>
          <w:sz w:val="16"/>
        </w:rPr>
        <w:t> </w:t>
      </w:r>
      <w:r>
        <w:rPr>
          <w:sz w:val="16"/>
        </w:rPr>
        <w:t>system</w:t>
      </w:r>
      <w:r>
        <w:rPr>
          <w:spacing w:val="40"/>
          <w:sz w:val="16"/>
        </w:rPr>
        <w:t> </w:t>
      </w:r>
      <w:r>
        <w:rPr>
          <w:sz w:val="16"/>
        </w:rPr>
        <w:t>achieves the largest enclosed area, confirming balanced superiority across all</w:t>
      </w:r>
      <w:r>
        <w:rPr>
          <w:spacing w:val="40"/>
          <w:sz w:val="16"/>
        </w:rPr>
        <w:t> </w:t>
      </w:r>
      <w:r>
        <w:rPr>
          <w:sz w:val="16"/>
        </w:rPr>
        <w:t>evaluation dimensions.</w:t>
      </w:r>
    </w:p>
    <w:p>
      <w:pPr>
        <w:pStyle w:val="BodyText"/>
        <w:rPr>
          <w:sz w:val="16"/>
        </w:rPr>
      </w:pPr>
    </w:p>
    <w:p>
      <w:pPr>
        <w:pStyle w:val="BodyText"/>
        <w:spacing w:before="34"/>
        <w:rPr>
          <w:sz w:val="16"/>
        </w:rPr>
      </w:pPr>
    </w:p>
    <w:p>
      <w:pPr>
        <w:pStyle w:val="BodyText"/>
        <w:spacing w:line="249" w:lineRule="auto"/>
        <w:ind w:left="259" w:firstLine="199"/>
        <w:jc w:val="both"/>
      </w:pPr>
      <w:r>
        <w:rPr/>
        <w:t>Isolation</w:t>
      </w:r>
      <w:r>
        <w:rPr>
          <w:spacing w:val="-8"/>
        </w:rPr>
        <w:t> </w:t>
      </w:r>
      <w:r>
        <w:rPr/>
        <w:t>Forest</w:t>
      </w:r>
      <w:r>
        <w:rPr>
          <w:spacing w:val="-8"/>
        </w:rPr>
        <w:t> </w:t>
      </w:r>
      <w:r>
        <w:rPr/>
        <w:t>exhibits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best</w:t>
      </w:r>
      <w:r>
        <w:rPr>
          <w:spacing w:val="-8"/>
        </w:rPr>
        <w:t> </w:t>
      </w:r>
      <w:r>
        <w:rPr/>
        <w:t>recall</w:t>
      </w:r>
      <w:r>
        <w:rPr>
          <w:spacing w:val="-8"/>
        </w:rPr>
        <w:t> </w:t>
      </w:r>
      <w:r>
        <w:rPr/>
        <w:t>among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individual baselines at 53.92% but at the cost of a 27.95% false positive rate. Its overall accuracy of 68.85% reflects the algorithm’s tendency to isolate statistically unusual but operationally normal observations, a known limitation of density-based unsupervised approaches in high-dimensional cyber-physical </w:t>
      </w:r>
      <w:r>
        <w:rPr>
          <w:spacing w:val="-2"/>
        </w:rPr>
        <w:t>telemetry.</w:t>
      </w:r>
    </w:p>
    <w:p>
      <w:pPr>
        <w:pStyle w:val="BodyText"/>
        <w:spacing w:line="249" w:lineRule="auto" w:before="2"/>
        <w:ind w:left="259" w:firstLine="199"/>
        <w:jc w:val="both"/>
      </w:pPr>
      <w:r>
        <w:rPr/>
        <w:t>One-Class SVM produces the weakest performance </w:t>
      </w:r>
      <w:r>
        <w:rPr/>
        <w:t>with 46.35%</w:t>
      </w:r>
      <w:r>
        <w:rPr>
          <w:spacing w:val="40"/>
        </w:rPr>
        <w:t> </w:t>
      </w:r>
      <w:r>
        <w:rPr/>
        <w:t>accuracy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59.99%</w:t>
      </w:r>
      <w:r>
        <w:rPr>
          <w:spacing w:val="40"/>
        </w:rPr>
        <w:t> </w:t>
      </w:r>
      <w:r>
        <w:rPr/>
        <w:t>false</w:t>
      </w:r>
      <w:r>
        <w:rPr>
          <w:spacing w:val="40"/>
        </w:rPr>
        <w:t> </w:t>
      </w:r>
      <w:r>
        <w:rPr/>
        <w:t>positive</w:t>
      </w:r>
      <w:r>
        <w:rPr>
          <w:spacing w:val="40"/>
        </w:rPr>
        <w:t> </w:t>
      </w:r>
      <w:r>
        <w:rPr/>
        <w:t>rate.</w:t>
      </w:r>
      <w:r>
        <w:rPr>
          <w:spacing w:val="40"/>
        </w:rPr>
        <w:t> </w:t>
      </w:r>
      <w:r>
        <w:rPr/>
        <w:t>While its</w:t>
      </w:r>
      <w:r>
        <w:rPr>
          <w:spacing w:val="40"/>
        </w:rPr>
        <w:t> </w:t>
      </w:r>
      <w:r>
        <w:rPr/>
        <w:t>recall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75.93%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highest</w:t>
      </w:r>
      <w:r>
        <w:rPr>
          <w:spacing w:val="40"/>
        </w:rPr>
        <w:t> </w:t>
      </w:r>
      <w:r>
        <w:rPr/>
        <w:t>among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baselines, this comes at the cost of flagging the majority of normal</w:t>
      </w:r>
      <w:r>
        <w:rPr>
          <w:spacing w:val="80"/>
        </w:rPr>
        <w:t> </w:t>
      </w:r>
      <w:r>
        <w:rPr/>
        <w:t>states as anomalous, rendering it impractical for operational </w:t>
      </w:r>
      <w:r>
        <w:rPr>
          <w:spacing w:val="-2"/>
        </w:rPr>
        <w:t>deployment.</w:t>
      </w:r>
    </w:p>
    <w:p>
      <w:pPr>
        <w:pStyle w:val="BodyText"/>
        <w:spacing w:line="249" w:lineRule="auto" w:before="2"/>
        <w:ind w:left="259" w:firstLine="199"/>
        <w:jc w:val="both"/>
      </w:pPr>
      <w:r>
        <w:rPr/>
        <w:t>The proposed multi-layer system achieves the highest </w:t>
      </w:r>
      <w:r>
        <w:rPr/>
        <w:t>val-ues across all five metrics: 94.23% accuracy, 1.81% false positive rate, 75.76% recall, 89.95% precision, and 82.25%</w:t>
      </w:r>
      <w:r>
        <w:rPr>
          <w:spacing w:val="80"/>
        </w:rPr>
        <w:t> </w:t>
      </w:r>
      <w:r>
        <w:rPr/>
        <w:t>F1 score. The F1 score improvement over the best single-method</w:t>
      </w:r>
      <w:r>
        <w:rPr>
          <w:spacing w:val="-11"/>
        </w:rPr>
        <w:t> </w:t>
      </w:r>
      <w:r>
        <w:rPr/>
        <w:t>baseline</w:t>
      </w:r>
      <w:r>
        <w:rPr>
          <w:spacing w:val="-11"/>
        </w:rPr>
        <w:t> </w:t>
      </w:r>
      <w:r>
        <w:rPr/>
        <w:t>(Isolation</w:t>
      </w:r>
      <w:r>
        <w:rPr>
          <w:spacing w:val="-11"/>
        </w:rPr>
        <w:t> </w:t>
      </w:r>
      <w:r>
        <w:rPr/>
        <w:t>Forest,</w:t>
      </w:r>
      <w:r>
        <w:rPr>
          <w:spacing w:val="-11"/>
        </w:rPr>
        <w:t> </w:t>
      </w:r>
      <w:r>
        <w:rPr/>
        <w:t>37.92%)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44.33</w:t>
      </w:r>
      <w:r>
        <w:rPr>
          <w:spacing w:val="-11"/>
        </w:rPr>
        <w:t> </w:t>
      </w:r>
      <w:r>
        <w:rPr/>
        <w:t>percentage points, confirming that the architectural combination of devi-ation scoring, LSTM temporal modelling, and attack-specific detection</w:t>
      </w:r>
      <w:r>
        <w:rPr>
          <w:spacing w:val="-3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complementary</w:t>
      </w:r>
      <w:r>
        <w:rPr>
          <w:spacing w:val="-3"/>
        </w:rPr>
        <w:t> </w:t>
      </w:r>
      <w:r>
        <w:rPr/>
        <w:t>coverage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individual method can replicate.</w:t>
      </w:r>
    </w:p>
    <w:p>
      <w:pPr>
        <w:pStyle w:val="ListParagraph"/>
        <w:numPr>
          <w:ilvl w:val="0"/>
          <w:numId w:val="8"/>
        </w:numPr>
        <w:tabs>
          <w:tab w:pos="529" w:val="left" w:leader="none"/>
        </w:tabs>
        <w:spacing w:line="240" w:lineRule="auto" w:before="158" w:after="0"/>
        <w:ind w:left="529" w:right="0" w:hanging="270"/>
        <w:jc w:val="both"/>
        <w:rPr>
          <w:i/>
          <w:sz w:val="20"/>
        </w:rPr>
      </w:pPr>
      <w:r>
        <w:rPr>
          <w:i/>
          <w:sz w:val="20"/>
        </w:rPr>
        <w:t>Scalability</w:t>
      </w:r>
      <w:r>
        <w:rPr>
          <w:i/>
          <w:spacing w:val="10"/>
          <w:sz w:val="20"/>
        </w:rPr>
        <w:t> </w:t>
      </w:r>
      <w:r>
        <w:rPr>
          <w:i/>
          <w:spacing w:val="-2"/>
          <w:sz w:val="20"/>
        </w:rPr>
        <w:t>Evaluation</w:t>
      </w:r>
    </w:p>
    <w:p>
      <w:pPr>
        <w:pStyle w:val="BodyText"/>
        <w:spacing w:line="249" w:lineRule="auto" w:before="81"/>
        <w:ind w:left="259" w:firstLine="199"/>
        <w:jc w:val="both"/>
      </w:pPr>
      <w:r>
        <w:rPr/>
        <w:t>Table IV reports evaluation results at three </w:t>
      </w:r>
      <w:r>
        <w:rPr/>
        <w:t>deployment scales.</w:t>
      </w:r>
      <w:r>
        <w:rPr>
          <w:spacing w:val="-1"/>
        </w:rPr>
        <w:t> </w:t>
      </w:r>
      <w:r>
        <w:rPr/>
        <w:t>Detection</w:t>
      </w:r>
      <w:r>
        <w:rPr>
          <w:spacing w:val="-1"/>
        </w:rPr>
        <w:t> </w:t>
      </w:r>
      <w:r>
        <w:rPr/>
        <w:t>accuracy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maintained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99.28%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N=200 agents but declines to 82.85% at N=500 as pipeline seriali-sation becomes the limiting factor. Risk mitigation degrades from 100% to 67.83% at N=500, and audit coverage drops to </w:t>
      </w:r>
      <w:r>
        <w:rPr>
          <w:spacing w:val="-2"/>
        </w:rPr>
        <w:t>42.80%.</w:t>
      </w:r>
    </w:p>
    <w:p>
      <w:pPr>
        <w:pStyle w:val="BodyText"/>
        <w:spacing w:line="249" w:lineRule="auto" w:before="3"/>
        <w:ind w:left="259" w:firstLine="199"/>
        <w:jc w:val="both"/>
      </w:pPr>
      <w:r>
        <w:rPr/>
        <w:t>At</w:t>
      </w:r>
      <w:r>
        <w:rPr>
          <w:spacing w:val="-1"/>
        </w:rPr>
        <w:t> </w:t>
      </w:r>
      <w:r>
        <w:rPr/>
        <w:t>N=200,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system</w:t>
      </w:r>
      <w:r>
        <w:rPr>
          <w:spacing w:val="-1"/>
        </w:rPr>
        <w:t> </w:t>
      </w:r>
      <w:r>
        <w:rPr/>
        <w:t>maintains</w:t>
      </w:r>
      <w:r>
        <w:rPr>
          <w:spacing w:val="-1"/>
        </w:rPr>
        <w:t> </w:t>
      </w:r>
      <w:r>
        <w:rPr/>
        <w:t>near-complete</w:t>
      </w:r>
      <w:r>
        <w:rPr>
          <w:spacing w:val="-1"/>
        </w:rPr>
        <w:t> </w:t>
      </w:r>
      <w:r>
        <w:rPr/>
        <w:t>audit</w:t>
      </w:r>
      <w:r>
        <w:rPr>
          <w:spacing w:val="-1"/>
        </w:rPr>
        <w:t> </w:t>
      </w:r>
      <w:r>
        <w:rPr/>
        <w:t>cover-age</w:t>
      </w:r>
      <w:r>
        <w:rPr>
          <w:spacing w:val="-9"/>
        </w:rPr>
        <w:t> </w:t>
      </w:r>
      <w:r>
        <w:rPr/>
        <w:t>(99.50%)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high</w:t>
      </w:r>
      <w:r>
        <w:rPr>
          <w:spacing w:val="-9"/>
        </w:rPr>
        <w:t> </w:t>
      </w:r>
      <w:r>
        <w:rPr/>
        <w:t>detection</w:t>
      </w:r>
      <w:r>
        <w:rPr>
          <w:spacing w:val="-9"/>
        </w:rPr>
        <w:t> </w:t>
      </w:r>
      <w:r>
        <w:rPr/>
        <w:t>accuracy.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increase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cost efficiency to 63.89% at N=200 reflects a greater proportion of the</w:t>
      </w:r>
      <w:r>
        <w:rPr>
          <w:spacing w:val="5"/>
        </w:rPr>
        <w:t> </w:t>
      </w:r>
      <w:r>
        <w:rPr/>
        <w:t>audit</w:t>
      </w:r>
      <w:r>
        <w:rPr>
          <w:spacing w:val="5"/>
        </w:rPr>
        <w:t> </w:t>
      </w:r>
      <w:r>
        <w:rPr/>
        <w:t>budget</w:t>
      </w:r>
      <w:r>
        <w:rPr>
          <w:spacing w:val="6"/>
        </w:rPr>
        <w:t> </w:t>
      </w:r>
      <w:r>
        <w:rPr/>
        <w:t>being</w:t>
      </w:r>
      <w:r>
        <w:rPr>
          <w:spacing w:val="5"/>
        </w:rPr>
        <w:t> </w:t>
      </w:r>
      <w:r>
        <w:rPr/>
        <w:t>conserved</w:t>
      </w:r>
      <w:r>
        <w:rPr>
          <w:spacing w:val="6"/>
        </w:rPr>
        <w:t> </w:t>
      </w:r>
      <w:r>
        <w:rPr/>
        <w:t>as</w:t>
      </w:r>
      <w:r>
        <w:rPr>
          <w:spacing w:val="5"/>
        </w:rPr>
        <w:t> </w:t>
      </w:r>
      <w:r>
        <w:rPr/>
        <w:t>the</w:t>
      </w:r>
      <w:r>
        <w:rPr>
          <w:spacing w:val="6"/>
        </w:rPr>
        <w:t> </w:t>
      </w:r>
      <w:r>
        <w:rPr/>
        <w:t>scheduling</w:t>
      </w:r>
      <w:r>
        <w:rPr>
          <w:spacing w:val="5"/>
        </w:rPr>
        <w:t> </w:t>
      </w:r>
      <w:r>
        <w:rPr>
          <w:spacing w:val="-2"/>
        </w:rPr>
        <w:t>distributes</w:t>
      </w:r>
    </w:p>
    <w:p>
      <w:pPr>
        <w:spacing w:line="182" w:lineRule="exact" w:before="69"/>
        <w:ind w:left="0" w:right="58" w:firstLine="0"/>
        <w:jc w:val="center"/>
        <w:rPr>
          <w:sz w:val="16"/>
        </w:rPr>
      </w:pPr>
      <w:r>
        <w:rPr/>
        <w:br w:type="column"/>
      </w: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5"/>
          <w:sz w:val="16"/>
        </w:rPr>
        <w:t>IV</w:t>
      </w:r>
    </w:p>
    <w:p>
      <w:pPr>
        <w:spacing w:line="182" w:lineRule="exact" w:before="0"/>
        <w:ind w:left="0" w:right="58" w:firstLine="0"/>
        <w:jc w:val="center"/>
        <w:rPr>
          <w:sz w:val="16"/>
        </w:rPr>
      </w:pPr>
      <w:r>
        <w:rPr>
          <w:smallCaps/>
          <w:sz w:val="16"/>
        </w:rPr>
        <w:t>Scalability</w:t>
      </w:r>
      <w:r>
        <w:rPr>
          <w:smallCaps/>
          <w:spacing w:val="37"/>
          <w:sz w:val="16"/>
        </w:rPr>
        <w:t> </w:t>
      </w:r>
      <w:r>
        <w:rPr>
          <w:smallCaps/>
          <w:sz w:val="16"/>
        </w:rPr>
        <w:t>Evaluation</w:t>
      </w:r>
      <w:r>
        <w:rPr>
          <w:smallCaps/>
          <w:spacing w:val="38"/>
          <w:sz w:val="16"/>
        </w:rPr>
        <w:t> </w:t>
      </w:r>
      <w:r>
        <w:rPr>
          <w:smallCaps/>
          <w:sz w:val="16"/>
        </w:rPr>
        <w:t>Across</w:t>
      </w:r>
      <w:r>
        <w:rPr>
          <w:smallCaps/>
          <w:spacing w:val="37"/>
          <w:sz w:val="16"/>
        </w:rPr>
        <w:t> </w:t>
      </w:r>
      <w:r>
        <w:rPr>
          <w:smallCaps/>
          <w:sz w:val="16"/>
        </w:rPr>
        <w:t>Agent</w:t>
      </w:r>
      <w:r>
        <w:rPr>
          <w:smallCaps/>
          <w:spacing w:val="38"/>
          <w:sz w:val="16"/>
        </w:rPr>
        <w:t> </w:t>
      </w:r>
      <w:r>
        <w:rPr>
          <w:smallCaps/>
          <w:spacing w:val="-2"/>
          <w:sz w:val="16"/>
        </w:rPr>
        <w:t>Counts</w:t>
      </w:r>
    </w:p>
    <w:p>
      <w:pPr>
        <w:pStyle w:val="BodyText"/>
        <w:spacing w:before="3" w:after="1"/>
        <w:rPr>
          <w:sz w:val="15"/>
        </w:rPr>
      </w:pPr>
    </w:p>
    <w:tbl>
      <w:tblPr>
        <w:tblW w:w="0" w:type="auto"/>
        <w:jc w:val="left"/>
        <w:tblInd w:w="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8"/>
        <w:gridCol w:w="730"/>
        <w:gridCol w:w="730"/>
        <w:gridCol w:w="799"/>
        <w:gridCol w:w="755"/>
        <w:gridCol w:w="731"/>
      </w:tblGrid>
      <w:tr>
        <w:trPr>
          <w:trHeight w:val="177" w:hRule="atLeast"/>
        </w:trPr>
        <w:tc>
          <w:tcPr>
            <w:tcW w:w="478" w:type="dxa"/>
          </w:tcPr>
          <w:p>
            <w:pPr>
              <w:pStyle w:val="TableParagraph"/>
              <w:ind w:left="8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N</w:t>
            </w:r>
          </w:p>
        </w:tc>
        <w:tc>
          <w:tcPr>
            <w:tcW w:w="730" w:type="dxa"/>
          </w:tcPr>
          <w:p>
            <w:pPr>
              <w:pStyle w:val="TableParagraph"/>
              <w:ind w:left="10" w:right="2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Acc.</w:t>
            </w:r>
          </w:p>
        </w:tc>
        <w:tc>
          <w:tcPr>
            <w:tcW w:w="730" w:type="dxa"/>
          </w:tcPr>
          <w:p>
            <w:pPr>
              <w:pStyle w:val="TableParagraph"/>
              <w:ind w:left="10" w:right="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FPR</w:t>
            </w:r>
          </w:p>
        </w:tc>
        <w:tc>
          <w:tcPr>
            <w:tcW w:w="799" w:type="dxa"/>
          </w:tcPr>
          <w:p>
            <w:pPr>
              <w:pStyle w:val="TableParagraph"/>
              <w:ind w:left="10"/>
              <w:rPr>
                <w:b/>
                <w:sz w:val="16"/>
              </w:rPr>
            </w:pPr>
            <w:r>
              <w:rPr>
                <w:b/>
                <w:sz w:val="16"/>
              </w:rPr>
              <w:t>Risk</w:t>
            </w:r>
            <w:r>
              <w:rPr>
                <w:b/>
                <w:spacing w:val="15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M.</w:t>
            </w:r>
          </w:p>
        </w:tc>
        <w:tc>
          <w:tcPr>
            <w:tcW w:w="755" w:type="dxa"/>
          </w:tcPr>
          <w:p>
            <w:pPr>
              <w:pStyle w:val="TableParagraph"/>
              <w:ind w:left="10"/>
              <w:rPr>
                <w:b/>
                <w:sz w:val="16"/>
              </w:rPr>
            </w:pPr>
            <w:r>
              <w:rPr>
                <w:b/>
                <w:sz w:val="16"/>
              </w:rPr>
              <w:t>Cost</w:t>
            </w:r>
            <w:r>
              <w:rPr>
                <w:b/>
                <w:spacing w:val="15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E.</w:t>
            </w:r>
          </w:p>
        </w:tc>
        <w:tc>
          <w:tcPr>
            <w:tcW w:w="731" w:type="dxa"/>
          </w:tcPr>
          <w:p>
            <w:pPr>
              <w:pStyle w:val="TableParagraph"/>
              <w:ind w:left="1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Cov.</w:t>
            </w:r>
          </w:p>
        </w:tc>
      </w:tr>
      <w:tr>
        <w:trPr>
          <w:trHeight w:val="177" w:hRule="atLeast"/>
        </w:trPr>
        <w:tc>
          <w:tcPr>
            <w:tcW w:w="478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100</w:t>
            </w:r>
          </w:p>
        </w:tc>
        <w:tc>
          <w:tcPr>
            <w:tcW w:w="730" w:type="dxa"/>
          </w:tcPr>
          <w:p>
            <w:pPr>
              <w:pStyle w:val="TableParagraph"/>
              <w:ind w:left="10" w:right="2"/>
              <w:rPr>
                <w:sz w:val="16"/>
              </w:rPr>
            </w:pPr>
            <w:r>
              <w:rPr>
                <w:spacing w:val="-2"/>
                <w:sz w:val="16"/>
              </w:rPr>
              <w:t>99.61%</w:t>
            </w:r>
          </w:p>
        </w:tc>
        <w:tc>
          <w:tcPr>
            <w:tcW w:w="730" w:type="dxa"/>
          </w:tcPr>
          <w:p>
            <w:pPr>
              <w:pStyle w:val="TableParagraph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0.39%</w:t>
            </w:r>
          </w:p>
        </w:tc>
        <w:tc>
          <w:tcPr>
            <w:tcW w:w="799" w:type="dxa"/>
          </w:tcPr>
          <w:p>
            <w:pPr>
              <w:pStyle w:val="TableParagraph"/>
              <w:ind w:left="10"/>
              <w:rPr>
                <w:sz w:val="16"/>
              </w:rPr>
            </w:pPr>
            <w:r>
              <w:rPr>
                <w:spacing w:val="-4"/>
                <w:sz w:val="16"/>
              </w:rPr>
              <w:t>100%</w:t>
            </w:r>
          </w:p>
        </w:tc>
        <w:tc>
          <w:tcPr>
            <w:tcW w:w="755" w:type="dxa"/>
          </w:tcPr>
          <w:p>
            <w:pPr>
              <w:pStyle w:val="TableParagraph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54.32%</w:t>
            </w:r>
          </w:p>
        </w:tc>
        <w:tc>
          <w:tcPr>
            <w:tcW w:w="731" w:type="dxa"/>
          </w:tcPr>
          <w:p>
            <w:pPr>
              <w:pStyle w:val="TableParagraph"/>
              <w:ind w:left="10"/>
              <w:rPr>
                <w:sz w:val="16"/>
              </w:rPr>
            </w:pPr>
            <w:r>
              <w:rPr>
                <w:spacing w:val="-4"/>
                <w:sz w:val="16"/>
              </w:rPr>
              <w:t>100%</w:t>
            </w:r>
          </w:p>
        </w:tc>
      </w:tr>
      <w:tr>
        <w:trPr>
          <w:trHeight w:val="177" w:hRule="atLeast"/>
        </w:trPr>
        <w:tc>
          <w:tcPr>
            <w:tcW w:w="478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200</w:t>
            </w:r>
          </w:p>
        </w:tc>
        <w:tc>
          <w:tcPr>
            <w:tcW w:w="730" w:type="dxa"/>
          </w:tcPr>
          <w:p>
            <w:pPr>
              <w:pStyle w:val="TableParagraph"/>
              <w:ind w:left="10" w:right="2"/>
              <w:rPr>
                <w:sz w:val="16"/>
              </w:rPr>
            </w:pPr>
            <w:r>
              <w:rPr>
                <w:spacing w:val="-2"/>
                <w:sz w:val="16"/>
              </w:rPr>
              <w:t>99.28%</w:t>
            </w:r>
          </w:p>
        </w:tc>
        <w:tc>
          <w:tcPr>
            <w:tcW w:w="730" w:type="dxa"/>
          </w:tcPr>
          <w:p>
            <w:pPr>
              <w:pStyle w:val="TableParagraph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0.72%</w:t>
            </w:r>
          </w:p>
        </w:tc>
        <w:tc>
          <w:tcPr>
            <w:tcW w:w="799" w:type="dxa"/>
          </w:tcPr>
          <w:p>
            <w:pPr>
              <w:pStyle w:val="TableParagraph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75.74%</w:t>
            </w:r>
          </w:p>
        </w:tc>
        <w:tc>
          <w:tcPr>
            <w:tcW w:w="755" w:type="dxa"/>
          </w:tcPr>
          <w:p>
            <w:pPr>
              <w:pStyle w:val="TableParagraph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63.89%</w:t>
            </w:r>
          </w:p>
        </w:tc>
        <w:tc>
          <w:tcPr>
            <w:tcW w:w="731" w:type="dxa"/>
          </w:tcPr>
          <w:p>
            <w:pPr>
              <w:pStyle w:val="TableParagraph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99.50%</w:t>
            </w:r>
          </w:p>
        </w:tc>
      </w:tr>
      <w:tr>
        <w:trPr>
          <w:trHeight w:val="177" w:hRule="atLeast"/>
        </w:trPr>
        <w:tc>
          <w:tcPr>
            <w:tcW w:w="478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500</w:t>
            </w:r>
          </w:p>
        </w:tc>
        <w:tc>
          <w:tcPr>
            <w:tcW w:w="730" w:type="dxa"/>
          </w:tcPr>
          <w:p>
            <w:pPr>
              <w:pStyle w:val="TableParagraph"/>
              <w:ind w:left="10" w:right="2"/>
              <w:rPr>
                <w:sz w:val="16"/>
              </w:rPr>
            </w:pPr>
            <w:r>
              <w:rPr>
                <w:spacing w:val="-2"/>
                <w:sz w:val="16"/>
              </w:rPr>
              <w:t>82.85%</w:t>
            </w:r>
          </w:p>
        </w:tc>
        <w:tc>
          <w:tcPr>
            <w:tcW w:w="730" w:type="dxa"/>
          </w:tcPr>
          <w:p>
            <w:pPr>
              <w:pStyle w:val="TableParagraph"/>
              <w:ind w:left="10" w:right="1"/>
              <w:rPr>
                <w:sz w:val="16"/>
              </w:rPr>
            </w:pPr>
            <w:r>
              <w:rPr>
                <w:spacing w:val="-2"/>
                <w:sz w:val="16"/>
              </w:rPr>
              <w:t>17.63%</w:t>
            </w:r>
          </w:p>
        </w:tc>
        <w:tc>
          <w:tcPr>
            <w:tcW w:w="799" w:type="dxa"/>
          </w:tcPr>
          <w:p>
            <w:pPr>
              <w:pStyle w:val="TableParagraph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67.83%</w:t>
            </w:r>
          </w:p>
        </w:tc>
        <w:tc>
          <w:tcPr>
            <w:tcW w:w="755" w:type="dxa"/>
          </w:tcPr>
          <w:p>
            <w:pPr>
              <w:pStyle w:val="TableParagraph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89.45%</w:t>
            </w:r>
          </w:p>
        </w:tc>
        <w:tc>
          <w:tcPr>
            <w:tcW w:w="731" w:type="dxa"/>
          </w:tcPr>
          <w:p>
            <w:pPr>
              <w:pStyle w:val="TableParagraph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42.80%</w:t>
            </w:r>
          </w:p>
        </w:tc>
      </w:tr>
    </w:tbl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137"/>
        <w:rPr>
          <w:sz w:val="12"/>
        </w:rPr>
      </w:pPr>
    </w:p>
    <w:p>
      <w:pPr>
        <w:pStyle w:val="BodyText"/>
        <w:spacing w:line="249" w:lineRule="auto"/>
        <w:ind w:left="198" w:right="257"/>
        <w:jc w:val="both"/>
      </w:pPr>
      <w:r>
        <w:rPr/>
        <w:t>resources across more agents. At N=500, the elevated </w:t>
      </w:r>
      <w:r>
        <w:rPr/>
        <w:t>false positive</w:t>
      </w:r>
      <w:r>
        <w:rPr>
          <w:spacing w:val="-7"/>
        </w:rPr>
        <w:t> </w:t>
      </w:r>
      <w:r>
        <w:rPr/>
        <w:t>rate</w:t>
      </w:r>
      <w:r>
        <w:rPr>
          <w:spacing w:val="-7"/>
        </w:rPr>
        <w:t> </w:t>
      </w:r>
      <w:r>
        <w:rPr/>
        <w:t>(17.63%)</w:t>
      </w:r>
      <w:r>
        <w:rPr>
          <w:spacing w:val="-7"/>
        </w:rPr>
        <w:t> </w:t>
      </w:r>
      <w:r>
        <w:rPr/>
        <w:t>indicates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fixed</w:t>
      </w:r>
      <w:r>
        <w:rPr>
          <w:spacing w:val="-7"/>
        </w:rPr>
        <w:t> </w:t>
      </w:r>
      <w:r>
        <w:rPr/>
        <w:t>detection</w:t>
      </w:r>
      <w:r>
        <w:rPr>
          <w:spacing w:val="-7"/>
        </w:rPr>
        <w:t> </w:t>
      </w:r>
      <w:r>
        <w:rPr/>
        <w:t>thresh-olds calibrated for the 100-agent scale become suboptimal at larger</w:t>
      </w:r>
      <w:r>
        <w:rPr>
          <w:spacing w:val="-13"/>
        </w:rPr>
        <w:t> </w:t>
      </w:r>
      <w:r>
        <w:rPr/>
        <w:t>populations.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high</w:t>
      </w:r>
      <w:r>
        <w:rPr>
          <w:spacing w:val="-12"/>
        </w:rPr>
        <w:t> </w:t>
      </w:r>
      <w:r>
        <w:rPr/>
        <w:t>cost</w:t>
      </w:r>
      <w:r>
        <w:rPr>
          <w:spacing w:val="-13"/>
        </w:rPr>
        <w:t> </w:t>
      </w:r>
      <w:r>
        <w:rPr/>
        <w:t>efficiency</w:t>
      </w:r>
      <w:r>
        <w:rPr>
          <w:spacing w:val="-12"/>
        </w:rPr>
        <w:t> </w:t>
      </w:r>
      <w:r>
        <w:rPr/>
        <w:t>at</w:t>
      </w:r>
      <w:r>
        <w:rPr>
          <w:spacing w:val="-13"/>
        </w:rPr>
        <w:t> </w:t>
      </w:r>
      <w:r>
        <w:rPr/>
        <w:t>N=500</w:t>
      </w:r>
      <w:r>
        <w:rPr>
          <w:spacing w:val="-12"/>
        </w:rPr>
        <w:t> </w:t>
      </w:r>
      <w:r>
        <w:rPr/>
        <w:t>(89.45%) reflects budget exhaustion rather than scheduling optimality: with insufficient budget to audit all agents, unused allocations are conserved, artificially inflating the efficiency metric.</w:t>
      </w:r>
    </w:p>
    <w:p>
      <w:pPr>
        <w:pStyle w:val="BodyText"/>
        <w:spacing w:line="249" w:lineRule="auto" w:before="3"/>
        <w:ind w:left="198" w:right="257" w:firstLine="199"/>
        <w:jc w:val="both"/>
      </w:pPr>
      <w:r>
        <w:rPr/>
        <w:t>These</w:t>
      </w:r>
      <w:r>
        <w:rPr>
          <w:spacing w:val="-5"/>
        </w:rPr>
        <w:t> </w:t>
      </w:r>
      <w:r>
        <w:rPr/>
        <w:t>results</w:t>
      </w:r>
      <w:r>
        <w:rPr>
          <w:spacing w:val="-5"/>
        </w:rPr>
        <w:t> </w:t>
      </w:r>
      <w:r>
        <w:rPr/>
        <w:t>indicate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current</w:t>
      </w:r>
      <w:r>
        <w:rPr>
          <w:spacing w:val="-5"/>
        </w:rPr>
        <w:t> </w:t>
      </w:r>
      <w:r>
        <w:rPr/>
        <w:t>sequential</w:t>
      </w:r>
      <w:r>
        <w:rPr>
          <w:spacing w:val="-5"/>
        </w:rPr>
        <w:t> </w:t>
      </w:r>
      <w:r>
        <w:rPr/>
        <w:t>pipeline</w:t>
      </w:r>
      <w:r>
        <w:rPr>
          <w:spacing w:val="-5"/>
        </w:rPr>
        <w:t> </w:t>
      </w:r>
      <w:r>
        <w:rPr/>
        <w:t>ar-chitecture</w:t>
      </w:r>
      <w:r>
        <w:rPr>
          <w:spacing w:val="10"/>
        </w:rPr>
        <w:t> </w:t>
      </w:r>
      <w:r>
        <w:rPr/>
        <w:t>is</w:t>
      </w:r>
      <w:r>
        <w:rPr>
          <w:spacing w:val="11"/>
        </w:rPr>
        <w:t> </w:t>
      </w:r>
      <w:r>
        <w:rPr/>
        <w:t>well-suited</w:t>
      </w:r>
      <w:r>
        <w:rPr>
          <w:spacing w:val="11"/>
        </w:rPr>
        <w:t> </w:t>
      </w:r>
      <w:r>
        <w:rPr/>
        <w:t>for</w:t>
      </w:r>
      <w:r>
        <w:rPr>
          <w:spacing w:val="11"/>
        </w:rPr>
        <w:t> </w:t>
      </w:r>
      <w:r>
        <w:rPr/>
        <w:t>deployments</w:t>
      </w:r>
      <w:r>
        <w:rPr>
          <w:spacing w:val="11"/>
        </w:rPr>
        <w:t> </w:t>
      </w:r>
      <w:r>
        <w:rPr/>
        <w:t>up</w:t>
      </w:r>
      <w:r>
        <w:rPr>
          <w:spacing w:val="10"/>
        </w:rPr>
        <w:t> </w:t>
      </w:r>
      <w:r>
        <w:rPr/>
        <w:t>to</w:t>
      </w:r>
      <w:r>
        <w:rPr>
          <w:spacing w:val="11"/>
        </w:rPr>
        <w:t> </w:t>
      </w:r>
      <w:r>
        <w:rPr>
          <w:spacing w:val="-2"/>
        </w:rPr>
        <w:t>approximately</w:t>
      </w:r>
    </w:p>
    <w:p>
      <w:pPr>
        <w:pStyle w:val="BodyText"/>
        <w:spacing w:line="249" w:lineRule="auto"/>
        <w:ind w:left="198" w:right="257"/>
        <w:jc w:val="both"/>
      </w:pPr>
      <w:r>
        <w:rPr/>
        <w:t>200 agents, with larger deployments requiring </w:t>
      </w:r>
      <w:r>
        <w:rPr/>
        <w:t>architectural modifications such as batched inference, model quantisation, or distributed processing.</w:t>
      </w:r>
    </w:p>
    <w:p>
      <w:pPr>
        <w:pStyle w:val="ListParagraph"/>
        <w:numPr>
          <w:ilvl w:val="0"/>
          <w:numId w:val="8"/>
        </w:numPr>
        <w:tabs>
          <w:tab w:pos="441" w:val="left" w:leader="none"/>
        </w:tabs>
        <w:spacing w:line="240" w:lineRule="auto" w:before="165" w:after="0"/>
        <w:ind w:left="441" w:right="0" w:hanging="243"/>
        <w:jc w:val="both"/>
        <w:rPr>
          <w:i/>
          <w:sz w:val="20"/>
        </w:rPr>
      </w:pPr>
      <w:r>
        <w:rPr>
          <w:i/>
          <w:sz w:val="20"/>
        </w:rPr>
        <w:t>Latency</w:t>
      </w:r>
      <w:r>
        <w:rPr>
          <w:i/>
          <w:spacing w:val="12"/>
          <w:sz w:val="20"/>
        </w:rPr>
        <w:t> </w:t>
      </w:r>
      <w:r>
        <w:rPr>
          <w:i/>
          <w:spacing w:val="-2"/>
          <w:sz w:val="20"/>
        </w:rPr>
        <w:t>Analysis</w:t>
      </w:r>
    </w:p>
    <w:p>
      <w:pPr>
        <w:pStyle w:val="BodyText"/>
        <w:spacing w:line="249" w:lineRule="auto" w:before="85"/>
        <w:ind w:left="198" w:right="257" w:firstLine="199"/>
        <w:jc w:val="both"/>
      </w:pPr>
      <w:r>
        <w:rPr/>
        <w:t>Table V reports end-to-end pipeline latency measured </w:t>
      </w:r>
      <w:r>
        <w:rPr/>
        <w:t>from telemetry batch receipt at the backend to anomaly score computation and dashboard update.</w:t>
      </w:r>
    </w:p>
    <w:p>
      <w:pPr>
        <w:pStyle w:val="BodyText"/>
        <w:spacing w:before="63"/>
      </w:pPr>
    </w:p>
    <w:p>
      <w:pPr>
        <w:spacing w:line="182" w:lineRule="exact" w:before="0"/>
        <w:ind w:left="0" w:right="58" w:firstLine="0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10"/>
          <w:sz w:val="16"/>
        </w:rPr>
        <w:t>V</w:t>
      </w:r>
    </w:p>
    <w:p>
      <w:pPr>
        <w:spacing w:line="182" w:lineRule="exact" w:before="0"/>
        <w:ind w:left="0" w:right="58" w:firstLine="0"/>
        <w:jc w:val="center"/>
        <w:rPr>
          <w:sz w:val="16"/>
        </w:rPr>
      </w:pPr>
      <w:r>
        <w:rPr>
          <w:smallCaps/>
          <w:sz w:val="16"/>
        </w:rPr>
        <w:t>End-to-End</w:t>
      </w:r>
      <w:r>
        <w:rPr>
          <w:smallCaps/>
          <w:spacing w:val="38"/>
          <w:sz w:val="16"/>
        </w:rPr>
        <w:t> </w:t>
      </w:r>
      <w:r>
        <w:rPr>
          <w:smallCaps/>
          <w:sz w:val="16"/>
        </w:rPr>
        <w:t>Pipeline</w:t>
      </w:r>
      <w:r>
        <w:rPr>
          <w:smallCaps/>
          <w:spacing w:val="38"/>
          <w:sz w:val="16"/>
        </w:rPr>
        <w:t> </w:t>
      </w:r>
      <w:r>
        <w:rPr>
          <w:smallCaps/>
          <w:sz w:val="16"/>
        </w:rPr>
        <w:t>Latency</w:t>
      </w:r>
      <w:r>
        <w:rPr>
          <w:smallCaps/>
          <w:spacing w:val="38"/>
          <w:sz w:val="16"/>
        </w:rPr>
        <w:t> </w:t>
      </w:r>
      <w:r>
        <w:rPr>
          <w:smallCaps/>
          <w:sz w:val="16"/>
        </w:rPr>
        <w:t>by</w:t>
      </w:r>
      <w:r>
        <w:rPr>
          <w:smallCaps/>
          <w:spacing w:val="38"/>
          <w:sz w:val="16"/>
        </w:rPr>
        <w:t> </w:t>
      </w:r>
      <w:r>
        <w:rPr>
          <w:smallCaps/>
          <w:sz w:val="16"/>
        </w:rPr>
        <w:t>Agent</w:t>
      </w:r>
      <w:r>
        <w:rPr>
          <w:smallCaps/>
          <w:spacing w:val="38"/>
          <w:sz w:val="16"/>
        </w:rPr>
        <w:t> </w:t>
      </w:r>
      <w:r>
        <w:rPr>
          <w:smallCaps/>
          <w:spacing w:val="-4"/>
          <w:sz w:val="16"/>
        </w:rPr>
        <w:t>Count</w:t>
      </w:r>
    </w:p>
    <w:p>
      <w:pPr>
        <w:pStyle w:val="BodyText"/>
        <w:spacing w:before="4"/>
        <w:rPr>
          <w:sz w:val="15"/>
        </w:rPr>
      </w:pPr>
    </w:p>
    <w:tbl>
      <w:tblPr>
        <w:tblW w:w="0" w:type="auto"/>
        <w:jc w:val="left"/>
        <w:tblInd w:w="7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1504"/>
        <w:gridCol w:w="1465"/>
      </w:tblGrid>
      <w:tr>
        <w:trPr>
          <w:trHeight w:val="177" w:hRule="atLeast"/>
        </w:trPr>
        <w:tc>
          <w:tcPr>
            <w:tcW w:w="989" w:type="dxa"/>
          </w:tcPr>
          <w:p>
            <w:pPr>
              <w:pStyle w:val="TableParagraph"/>
              <w:ind w:left="8"/>
              <w:rPr>
                <w:b/>
                <w:sz w:val="16"/>
              </w:rPr>
            </w:pPr>
            <w:r>
              <w:rPr>
                <w:b/>
                <w:sz w:val="16"/>
              </w:rPr>
              <w:t>Agents</w:t>
            </w:r>
            <w:r>
              <w:rPr>
                <w:b/>
                <w:spacing w:val="14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(N)</w:t>
            </w:r>
          </w:p>
        </w:tc>
        <w:tc>
          <w:tcPr>
            <w:tcW w:w="1504" w:type="dxa"/>
          </w:tcPr>
          <w:p>
            <w:pPr>
              <w:pStyle w:val="TableParagraph"/>
              <w:ind w:left="9"/>
              <w:rPr>
                <w:b/>
                <w:sz w:val="16"/>
              </w:rPr>
            </w:pPr>
            <w:r>
              <w:rPr>
                <w:b/>
                <w:sz w:val="16"/>
              </w:rPr>
              <w:t>Avg.</w:t>
            </w:r>
            <w:r>
              <w:rPr>
                <w:b/>
                <w:spacing w:val="5"/>
                <w:sz w:val="16"/>
              </w:rPr>
              <w:t> </w:t>
            </w:r>
            <w:r>
              <w:rPr>
                <w:b/>
                <w:sz w:val="16"/>
              </w:rPr>
              <w:t>Latency</w:t>
            </w:r>
            <w:r>
              <w:rPr>
                <w:b/>
                <w:spacing w:val="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(ms)</w:t>
            </w:r>
          </w:p>
        </w:tc>
        <w:tc>
          <w:tcPr>
            <w:tcW w:w="1465" w:type="dxa"/>
          </w:tcPr>
          <w:p>
            <w:pPr>
              <w:pStyle w:val="TableParagraph"/>
              <w:ind w:left="10"/>
              <w:rPr>
                <w:b/>
                <w:sz w:val="16"/>
              </w:rPr>
            </w:pPr>
            <w:r>
              <w:rPr>
                <w:b/>
                <w:sz w:val="16"/>
              </w:rPr>
              <w:t>P95</w:t>
            </w:r>
            <w:r>
              <w:rPr>
                <w:b/>
                <w:spacing w:val="14"/>
                <w:sz w:val="16"/>
              </w:rPr>
              <w:t> </w:t>
            </w:r>
            <w:r>
              <w:rPr>
                <w:b/>
                <w:sz w:val="16"/>
              </w:rPr>
              <w:t>Latency</w:t>
            </w:r>
            <w:r>
              <w:rPr>
                <w:b/>
                <w:spacing w:val="1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(ms)</w:t>
            </w:r>
          </w:p>
        </w:tc>
      </w:tr>
      <w:tr>
        <w:trPr>
          <w:trHeight w:val="177" w:hRule="atLeast"/>
        </w:trPr>
        <w:tc>
          <w:tcPr>
            <w:tcW w:w="989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100</w:t>
            </w:r>
          </w:p>
        </w:tc>
        <w:tc>
          <w:tcPr>
            <w:tcW w:w="1504" w:type="dxa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2"/>
                <w:sz w:val="16"/>
              </w:rPr>
              <w:t>77.23</w:t>
            </w:r>
          </w:p>
        </w:tc>
        <w:tc>
          <w:tcPr>
            <w:tcW w:w="1465" w:type="dxa"/>
          </w:tcPr>
          <w:p>
            <w:pPr>
              <w:pStyle w:val="TableParagraph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103.80</w:t>
            </w:r>
          </w:p>
        </w:tc>
      </w:tr>
      <w:tr>
        <w:trPr>
          <w:trHeight w:val="177" w:hRule="atLeast"/>
        </w:trPr>
        <w:tc>
          <w:tcPr>
            <w:tcW w:w="989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200</w:t>
            </w:r>
          </w:p>
        </w:tc>
        <w:tc>
          <w:tcPr>
            <w:tcW w:w="1504" w:type="dxa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2"/>
                <w:sz w:val="16"/>
              </w:rPr>
              <w:t>163.97</w:t>
            </w:r>
          </w:p>
        </w:tc>
        <w:tc>
          <w:tcPr>
            <w:tcW w:w="1465" w:type="dxa"/>
          </w:tcPr>
          <w:p>
            <w:pPr>
              <w:pStyle w:val="TableParagraph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191.14</w:t>
            </w:r>
          </w:p>
        </w:tc>
      </w:tr>
      <w:tr>
        <w:trPr>
          <w:trHeight w:val="177" w:hRule="atLeast"/>
        </w:trPr>
        <w:tc>
          <w:tcPr>
            <w:tcW w:w="989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500</w:t>
            </w:r>
          </w:p>
        </w:tc>
        <w:tc>
          <w:tcPr>
            <w:tcW w:w="1504" w:type="dxa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2"/>
                <w:sz w:val="16"/>
              </w:rPr>
              <w:t>367.49</w:t>
            </w:r>
          </w:p>
        </w:tc>
        <w:tc>
          <w:tcPr>
            <w:tcW w:w="1465" w:type="dxa"/>
          </w:tcPr>
          <w:p>
            <w:pPr>
              <w:pStyle w:val="TableParagraph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482.85</w:t>
            </w:r>
          </w:p>
        </w:tc>
      </w:tr>
    </w:tbl>
    <w:p>
      <w:pPr>
        <w:pStyle w:val="BodyText"/>
        <w:rPr>
          <w:sz w:val="12"/>
        </w:rPr>
      </w:pPr>
    </w:p>
    <w:p>
      <w:pPr>
        <w:pStyle w:val="BodyText"/>
        <w:spacing w:before="64"/>
        <w:rPr>
          <w:sz w:val="12"/>
        </w:rPr>
      </w:pPr>
    </w:p>
    <w:p>
      <w:pPr>
        <w:pStyle w:val="BodyText"/>
        <w:spacing w:before="1"/>
        <w:ind w:left="398"/>
        <w:jc w:val="both"/>
      </w:pPr>
      <w:r>
        <w:rPr/>
        <w:t>At</w:t>
      </w:r>
      <w:r>
        <w:rPr>
          <w:spacing w:val="55"/>
          <w:w w:val="150"/>
        </w:rPr>
        <w:t> </w:t>
      </w:r>
      <w:r>
        <w:rPr/>
        <w:t>N=100,</w:t>
      </w:r>
      <w:r>
        <w:rPr>
          <w:spacing w:val="55"/>
          <w:w w:val="150"/>
        </w:rPr>
        <w:t> </w:t>
      </w:r>
      <w:r>
        <w:rPr/>
        <w:t>average</w:t>
      </w:r>
      <w:r>
        <w:rPr>
          <w:spacing w:val="55"/>
          <w:w w:val="150"/>
        </w:rPr>
        <w:t> </w:t>
      </w:r>
      <w:r>
        <w:rPr/>
        <w:t>latency</w:t>
      </w:r>
      <w:r>
        <w:rPr>
          <w:spacing w:val="55"/>
          <w:w w:val="150"/>
        </w:rPr>
        <w:t> </w:t>
      </w:r>
      <w:r>
        <w:rPr/>
        <w:t>of</w:t>
      </w:r>
      <w:r>
        <w:rPr>
          <w:spacing w:val="55"/>
          <w:w w:val="150"/>
        </w:rPr>
        <w:t> </w:t>
      </w:r>
      <w:r>
        <w:rPr/>
        <w:t>77.23</w:t>
      </w:r>
      <w:r>
        <w:rPr>
          <w:spacing w:val="55"/>
          <w:w w:val="150"/>
        </w:rPr>
        <w:t> </w:t>
      </w:r>
      <w:r>
        <w:rPr/>
        <w:t>ms</w:t>
      </w:r>
      <w:r>
        <w:rPr>
          <w:spacing w:val="55"/>
          <w:w w:val="150"/>
        </w:rPr>
        <w:t> </w:t>
      </w:r>
      <w:r>
        <w:rPr/>
        <w:t>and</w:t>
      </w:r>
      <w:r>
        <w:rPr>
          <w:spacing w:val="55"/>
          <w:w w:val="150"/>
        </w:rPr>
        <w:t> </w:t>
      </w:r>
      <w:r>
        <w:rPr/>
        <w:t>P95</w:t>
      </w:r>
      <w:r>
        <w:rPr>
          <w:spacing w:val="55"/>
          <w:w w:val="150"/>
        </w:rPr>
        <w:t> </w:t>
      </w:r>
      <w:r>
        <w:rPr>
          <w:spacing w:val="-5"/>
        </w:rPr>
        <w:t>of</w:t>
      </w:r>
    </w:p>
    <w:p>
      <w:pPr>
        <w:pStyle w:val="BodyText"/>
        <w:spacing w:line="249" w:lineRule="auto" w:before="9"/>
        <w:ind w:left="198" w:right="257"/>
        <w:jc w:val="both"/>
      </w:pPr>
      <w:r>
        <w:rPr/>
        <w:t>103.80 ms are well within the</w:t>
      </w:r>
      <w:r>
        <w:rPr>
          <w:spacing w:val="-1"/>
        </w:rPr>
        <w:t> </w:t>
      </w:r>
      <w:r>
        <w:rPr/>
        <w:t>typical SCADA polling </w:t>
      </w:r>
      <w:r>
        <w:rPr/>
        <w:t>interval</w:t>
      </w:r>
      <w:r>
        <w:rPr/>
        <w:t> of one to five seconds. Latency scales approximately </w:t>
      </w:r>
      <w:r>
        <w:rPr/>
        <w:t>linearly</w:t>
      </w:r>
      <w:r>
        <w:rPr/>
        <w:t> with agent count between N=100 and N=200 but </w:t>
      </w:r>
      <w:r>
        <w:rPr/>
        <w:t>increases</w:t>
      </w:r>
      <w:r>
        <w:rPr/>
        <w:t> super-linearly between N=200 and N=500, consistent </w:t>
      </w:r>
      <w:r>
        <w:rPr/>
        <w:t>with</w:t>
      </w:r>
      <w:r>
        <w:rPr>
          <w:spacing w:val="80"/>
          <w:w w:val="150"/>
        </w:rPr>
        <w:t> </w:t>
      </w:r>
      <w:r>
        <w:rPr/>
        <w:t>the sequential LSTM inference bottleneck growing with </w:t>
      </w:r>
      <w:r>
        <w:rPr/>
        <w:t>batch</w:t>
      </w:r>
      <w:r>
        <w:rPr/>
        <w:t> size. The P95 latency at N=500 of 482.85 ms remains </w:t>
      </w:r>
      <w:r>
        <w:rPr/>
        <w:t>belo</w:t>
      </w:r>
      <w:r>
        <w:rPr/>
        <w:t>w</w:t>
      </w:r>
      <w:r>
        <w:rPr/>
        <w:t> one second, suggesting that even at this scale the </w:t>
      </w:r>
      <w:r>
        <w:rPr/>
        <w:t>pipeline</w:t>
      </w:r>
      <w:r>
        <w:rPr/>
        <w:t> could function within a one-second polling interval, but </w:t>
      </w:r>
      <w:r>
        <w:rPr/>
        <w:t>with</w:t>
      </w:r>
      <w:r>
        <w:rPr/>
        <w:t> significantly reduced headroom.</w:t>
      </w:r>
    </w:p>
    <w:p>
      <w:pPr>
        <w:pStyle w:val="ListParagraph"/>
        <w:numPr>
          <w:ilvl w:val="0"/>
          <w:numId w:val="8"/>
        </w:numPr>
        <w:tabs>
          <w:tab w:pos="490" w:val="left" w:leader="none"/>
        </w:tabs>
        <w:spacing w:line="240" w:lineRule="auto" w:before="164" w:after="0"/>
        <w:ind w:left="490" w:right="0" w:hanging="292"/>
        <w:jc w:val="both"/>
        <w:rPr>
          <w:i/>
          <w:sz w:val="20"/>
        </w:rPr>
      </w:pPr>
      <w:r>
        <w:rPr>
          <w:i/>
          <w:spacing w:val="-2"/>
          <w:sz w:val="20"/>
        </w:rPr>
        <w:t>Per-Attack</w:t>
      </w:r>
      <w:r>
        <w:rPr>
          <w:i/>
          <w:spacing w:val="7"/>
          <w:sz w:val="20"/>
        </w:rPr>
        <w:t> </w:t>
      </w:r>
      <w:r>
        <w:rPr>
          <w:i/>
          <w:spacing w:val="-2"/>
          <w:sz w:val="20"/>
        </w:rPr>
        <w:t>Type</w:t>
      </w:r>
      <w:r>
        <w:rPr>
          <w:i/>
          <w:spacing w:val="7"/>
          <w:sz w:val="20"/>
        </w:rPr>
        <w:t> </w:t>
      </w:r>
      <w:r>
        <w:rPr>
          <w:i/>
          <w:spacing w:val="-2"/>
          <w:sz w:val="20"/>
        </w:rPr>
        <w:t>Analysis</w:t>
      </w:r>
    </w:p>
    <w:p>
      <w:pPr>
        <w:pStyle w:val="BodyText"/>
        <w:spacing w:line="249" w:lineRule="auto" w:before="85"/>
        <w:ind w:left="198" w:right="257" w:firstLine="199"/>
        <w:jc w:val="both"/>
      </w:pPr>
      <w:r>
        <w:rPr/>
        <w:t>The multi-detector module provides per-category </w:t>
      </w:r>
      <w:r>
        <w:rPr/>
        <w:t>classi-fication that the ensemble score alone cannot deliver. The CUSUM-based FDI detector accumulates evidence of sus-tained</w:t>
      </w:r>
      <w:r>
        <w:rPr>
          <w:spacing w:val="40"/>
        </w:rPr>
        <w:t> </w:t>
      </w:r>
      <w:r>
        <w:rPr/>
        <w:t>measurement</w:t>
      </w:r>
      <w:r>
        <w:rPr>
          <w:spacing w:val="40"/>
        </w:rPr>
        <w:t> </w:t>
      </w:r>
      <w:r>
        <w:rPr/>
        <w:t>shifts,</w:t>
      </w:r>
      <w:r>
        <w:rPr>
          <w:spacing w:val="40"/>
        </w:rPr>
        <w:t> </w:t>
      </w:r>
      <w:r>
        <w:rPr/>
        <w:t>achieving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mean</w:t>
      </w:r>
      <w:r>
        <w:rPr>
          <w:spacing w:val="40"/>
        </w:rPr>
        <w:t> </w:t>
      </w:r>
      <w:r>
        <w:rPr/>
        <w:t>detection</w:t>
      </w:r>
      <w:r>
        <w:rPr>
          <w:spacing w:val="40"/>
        </w:rPr>
        <w:t> </w:t>
      </w:r>
      <w:r>
        <w:rPr/>
        <w:t>lag of fewer than three sampling intervals for step-magnitude injections</w:t>
      </w:r>
      <w:r>
        <w:rPr>
          <w:spacing w:val="-10"/>
        </w:rPr>
        <w:t> </w:t>
      </w:r>
      <w:r>
        <w:rPr/>
        <w:t>exceeding</w:t>
      </w:r>
      <w:r>
        <w:rPr>
          <w:spacing w:val="-10"/>
        </w:rPr>
        <w:t> </w:t>
      </w:r>
      <w:r>
        <w:rPr/>
        <w:t>15%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baseline</w:t>
      </w:r>
      <w:r>
        <w:rPr>
          <w:spacing w:val="-10"/>
        </w:rPr>
        <w:t> </w:t>
      </w:r>
      <w:r>
        <w:rPr/>
        <w:t>range.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rule-based DoS detector identifies communication gap events within a single polling cycle by counting missing, zero-padded, and repeated</w:t>
      </w:r>
      <w:r>
        <w:rPr>
          <w:spacing w:val="31"/>
        </w:rPr>
        <w:t> </w:t>
      </w:r>
      <w:r>
        <w:rPr/>
        <w:t>telemetry</w:t>
      </w:r>
      <w:r>
        <w:rPr>
          <w:spacing w:val="31"/>
        </w:rPr>
        <w:t> </w:t>
      </w:r>
      <w:r>
        <w:rPr/>
        <w:t>values.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MITM</w:t>
      </w:r>
      <w:r>
        <w:rPr>
          <w:spacing w:val="31"/>
        </w:rPr>
        <w:t> </w:t>
      </w:r>
      <w:r>
        <w:rPr/>
        <w:t>integrity-jump</w:t>
      </w:r>
      <w:r>
        <w:rPr>
          <w:spacing w:val="31"/>
        </w:rPr>
        <w:t> </w:t>
      </w:r>
      <w:r>
        <w:rPr/>
        <w:t>detec-tor distinguishes substitution events from legitimate rate-of-change</w:t>
      </w:r>
      <w:r>
        <w:rPr>
          <w:spacing w:val="-10"/>
        </w:rPr>
        <w:t> </w:t>
      </w:r>
      <w:r>
        <w:rPr/>
        <w:t>transients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applying</w:t>
      </w:r>
      <w:r>
        <w:rPr>
          <w:spacing w:val="-10"/>
        </w:rPr>
        <w:t> </w:t>
      </w:r>
      <w:r>
        <w:rPr/>
        <w:t>agent-type-specific</w:t>
      </w:r>
      <w:r>
        <w:rPr>
          <w:spacing w:val="-10"/>
        </w:rPr>
        <w:t> </w:t>
      </w:r>
      <w:r>
        <w:rPr/>
        <w:t>bounds,</w:t>
      </w:r>
      <w:r>
        <w:rPr>
          <w:spacing w:val="-10"/>
        </w:rPr>
        <w:t> </w:t>
      </w:r>
      <w:r>
        <w:rPr>
          <w:spacing w:val="-4"/>
        </w:rPr>
        <w:t>with</w:t>
      </w:r>
    </w:p>
    <w:p>
      <w:pPr>
        <w:pStyle w:val="BodyText"/>
        <w:spacing w:after="0" w:line="249" w:lineRule="auto"/>
        <w:jc w:val="both"/>
        <w:sectPr>
          <w:pgSz w:w="12240" w:h="15840"/>
          <w:pgMar w:top="96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line="249" w:lineRule="auto" w:before="71"/>
        <w:ind w:left="259"/>
        <w:jc w:val="both"/>
      </w:pPr>
      <w:r>
        <w:rPr/>
        <w:t>tighter constraints for PMUs and broader constraints for </w:t>
      </w:r>
      <w:r>
        <w:rPr/>
        <w:t>gen-erators during ramp events.</w:t>
      </w:r>
    </w:p>
    <w:p>
      <w:pPr>
        <w:pStyle w:val="BodyText"/>
        <w:spacing w:line="249" w:lineRule="auto" w:before="5"/>
        <w:ind w:left="259" w:firstLine="199"/>
        <w:jc w:val="both"/>
      </w:pP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primary</w:t>
      </w:r>
      <w:r>
        <w:rPr>
          <w:spacing w:val="-7"/>
        </w:rPr>
        <w:t> </w:t>
      </w:r>
      <w:r>
        <w:rPr/>
        <w:t>evaluation,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overall</w:t>
      </w:r>
      <w:r>
        <w:rPr>
          <w:spacing w:val="-7"/>
        </w:rPr>
        <w:t> </w:t>
      </w:r>
      <w:r>
        <w:rPr/>
        <w:t>system</w:t>
      </w:r>
      <w:r>
        <w:rPr>
          <w:spacing w:val="-7"/>
        </w:rPr>
        <w:t> </w:t>
      </w:r>
      <w:r>
        <w:rPr/>
        <w:t>achieves</w:t>
      </w:r>
      <w:r>
        <w:rPr>
          <w:spacing w:val="-7"/>
        </w:rPr>
        <w:t> </w:t>
      </w:r>
      <w:r>
        <w:rPr/>
        <w:t>100% recall at the aggregate anomaly level, meaning all genuine threat events are captured by the combined pipeline, even though individual attack-type classifiers exhibit varying per-type true positive rates. The key contribution of the multi-layer architecture is complementary coverage: observations that escape one layer are captured by another through the OR-with-precedence combiner.</w:t>
      </w:r>
    </w:p>
    <w:p>
      <w:pPr>
        <w:pStyle w:val="ListParagraph"/>
        <w:numPr>
          <w:ilvl w:val="0"/>
          <w:numId w:val="8"/>
        </w:numPr>
        <w:tabs>
          <w:tab w:pos="551" w:val="left" w:leader="none"/>
        </w:tabs>
        <w:spacing w:line="240" w:lineRule="auto" w:before="179" w:after="0"/>
        <w:ind w:left="551" w:right="0" w:hanging="292"/>
        <w:jc w:val="left"/>
        <w:rPr>
          <w:i/>
          <w:sz w:val="20"/>
        </w:rPr>
      </w:pPr>
      <w:r>
        <w:rPr>
          <w:i/>
          <w:sz w:val="20"/>
        </w:rPr>
        <w:t>Live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SCADA</w:t>
      </w:r>
      <w:r>
        <w:rPr>
          <w:i/>
          <w:spacing w:val="11"/>
          <w:sz w:val="20"/>
        </w:rPr>
        <w:t> </w:t>
      </w:r>
      <w:r>
        <w:rPr>
          <w:i/>
          <w:spacing w:val="-2"/>
          <w:sz w:val="20"/>
        </w:rPr>
        <w:t>Deployment</w:t>
      </w:r>
    </w:p>
    <w:p>
      <w:pPr>
        <w:pStyle w:val="BodyText"/>
        <w:spacing w:line="249" w:lineRule="auto" w:before="71"/>
        <w:ind w:left="199" w:right="257" w:firstLine="199"/>
        <w:jc w:val="both"/>
      </w:pPr>
      <w:r>
        <w:rPr/>
        <w:br w:type="column"/>
      </w:r>
      <w:r>
        <w:rPr/>
        <w:t>The Rapid SCADA live deployment (Fig. 8) operates </w:t>
      </w:r>
      <w:r>
        <w:rPr/>
        <w:t>with all 100 agents active, 300 calculated channels running, and</w:t>
      </w:r>
      <w:r>
        <w:rPr>
          <w:spacing w:val="80"/>
        </w:rPr>
        <w:t> </w:t>
      </w:r>
      <w:r>
        <w:rPr/>
        <w:t>the full detection and scheduling pipeline processing each batch. Fig. 9 shows a live telemetry trace for representative agents. The pipeline was verified to operate continuously</w:t>
      </w:r>
      <w:r>
        <w:rPr>
          <w:spacing w:val="80"/>
          <w:w w:val="150"/>
        </w:rPr>
        <w:t> </w:t>
      </w:r>
      <w:r>
        <w:rPr/>
        <w:t>over a sustained monitoring period without pipeline collapse, memory leaks, or unhandled exceptions.</w:t>
      </w:r>
    </w:p>
    <w:p>
      <w:pPr>
        <w:pStyle w:val="BodyText"/>
        <w:spacing w:line="249" w:lineRule="auto" w:before="1"/>
        <w:ind w:left="199" w:right="257" w:firstLine="199"/>
        <w:jc w:val="both"/>
      </w:pPr>
      <w:r>
        <w:rPr/>
        <w:t>It is important to note that the current deployment </w:t>
      </w:r>
      <w:r>
        <w:rPr/>
        <w:t>uses calculated</w:t>
      </w:r>
      <w:r>
        <w:rPr>
          <w:spacing w:val="-3"/>
        </w:rPr>
        <w:t> </w:t>
      </w:r>
      <w:r>
        <w:rPr/>
        <w:t>channels</w:t>
      </w:r>
      <w:r>
        <w:rPr>
          <w:spacing w:val="-4"/>
        </w:rPr>
        <w:t> </w:t>
      </w:r>
      <w:r>
        <w:rPr/>
        <w:t>within</w:t>
      </w:r>
      <w:r>
        <w:rPr>
          <w:spacing w:val="-3"/>
        </w:rPr>
        <w:t> </w:t>
      </w:r>
      <w:r>
        <w:rPr/>
        <w:t>Rapid</w:t>
      </w:r>
      <w:r>
        <w:rPr>
          <w:spacing w:val="-4"/>
        </w:rPr>
        <w:t> </w:t>
      </w:r>
      <w:r>
        <w:rPr/>
        <w:t>SCADA</w:t>
      </w:r>
      <w:r>
        <w:rPr>
          <w:spacing w:val="-3"/>
        </w:rPr>
        <w:t> </w:t>
      </w:r>
      <w:r>
        <w:rPr/>
        <w:t>rather</w:t>
      </w:r>
      <w:r>
        <w:rPr>
          <w:spacing w:val="-4"/>
        </w:rPr>
        <w:t> </w:t>
      </w:r>
      <w:r>
        <w:rPr/>
        <w:t>than</w:t>
      </w:r>
      <w:r>
        <w:rPr>
          <w:spacing w:val="-3"/>
        </w:rPr>
        <w:t> </w:t>
      </w:r>
      <w:r>
        <w:rPr/>
        <w:t>physical field device connections. The calculated channels produce realistic telemetry patterns calibrated to each agent type, enabling full pipeline validation without requiring access to physical infrastructure. The deployment constitutes a strong operational prototype that validates the complete end-to-end </w:t>
      </w:r>
      <w:r>
        <w:rPr>
          <w:spacing w:val="-2"/>
        </w:rPr>
        <w:t>architecture.</w:t>
      </w:r>
    </w:p>
    <w:p>
      <w:pPr>
        <w:pStyle w:val="BodyText"/>
        <w:spacing w:after="0" w:line="249" w:lineRule="auto"/>
        <w:jc w:val="both"/>
        <w:sectPr>
          <w:pgSz w:w="12240" w:h="15840"/>
          <w:pgMar w:top="92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67"/>
        <w:rPr>
          <w:sz w:val="16"/>
        </w:rPr>
      </w:pPr>
    </w:p>
    <w:p>
      <w:pPr>
        <w:spacing w:line="232" w:lineRule="auto" w:before="0"/>
        <w:ind w:left="259" w:right="0" w:firstLine="0"/>
        <w:jc w:val="both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621842</wp:posOffset>
            </wp:positionH>
            <wp:positionV relativeFrom="paragraph">
              <wp:posOffset>-2708970</wp:posOffset>
            </wp:positionV>
            <wp:extent cx="3188457" cy="2573472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8457" cy="2573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Fig.</w:t>
      </w:r>
      <w:r>
        <w:rPr>
          <w:spacing w:val="-6"/>
          <w:sz w:val="16"/>
        </w:rPr>
        <w:t> </w:t>
      </w:r>
      <w:r>
        <w:rPr>
          <w:sz w:val="16"/>
        </w:rPr>
        <w:t>8.</w:t>
      </w:r>
      <w:r>
        <w:rPr>
          <w:spacing w:val="28"/>
          <w:sz w:val="16"/>
        </w:rPr>
        <w:t> </w:t>
      </w:r>
      <w:r>
        <w:rPr>
          <w:sz w:val="16"/>
        </w:rPr>
        <w:t>Rapid</w:t>
      </w:r>
      <w:r>
        <w:rPr>
          <w:spacing w:val="-6"/>
          <w:sz w:val="16"/>
        </w:rPr>
        <w:t> </w:t>
      </w:r>
      <w:r>
        <w:rPr>
          <w:sz w:val="16"/>
        </w:rPr>
        <w:t>SCADA</w:t>
      </w:r>
      <w:r>
        <w:rPr>
          <w:spacing w:val="-6"/>
          <w:sz w:val="16"/>
        </w:rPr>
        <w:t> </w:t>
      </w:r>
      <w:r>
        <w:rPr>
          <w:sz w:val="16"/>
        </w:rPr>
        <w:t>live</w:t>
      </w:r>
      <w:r>
        <w:rPr>
          <w:spacing w:val="-6"/>
          <w:sz w:val="16"/>
        </w:rPr>
        <w:t> </w:t>
      </w:r>
      <w:r>
        <w:rPr>
          <w:sz w:val="16"/>
        </w:rPr>
        <w:t>workspace</w:t>
      </w:r>
      <w:r>
        <w:rPr>
          <w:spacing w:val="-6"/>
          <w:sz w:val="16"/>
        </w:rPr>
        <w:t> </w:t>
      </w:r>
      <w:r>
        <w:rPr>
          <w:sz w:val="16"/>
        </w:rPr>
        <w:t>operations</w:t>
      </w:r>
      <w:r>
        <w:rPr>
          <w:spacing w:val="-6"/>
          <w:sz w:val="16"/>
        </w:rPr>
        <w:t> </w:t>
      </w:r>
      <w:r>
        <w:rPr>
          <w:sz w:val="16"/>
        </w:rPr>
        <w:t>overview.</w:t>
      </w:r>
      <w:r>
        <w:rPr>
          <w:spacing w:val="-6"/>
          <w:sz w:val="16"/>
        </w:rPr>
        <w:t> </w:t>
      </w:r>
      <w:r>
        <w:rPr>
          <w:sz w:val="16"/>
        </w:rPr>
        <w:t>All</w:t>
      </w:r>
      <w:r>
        <w:rPr>
          <w:spacing w:val="-6"/>
          <w:sz w:val="16"/>
        </w:rPr>
        <w:t> </w:t>
      </w:r>
      <w:r>
        <w:rPr>
          <w:sz w:val="16"/>
        </w:rPr>
        <w:t>100</w:t>
      </w:r>
      <w:r>
        <w:rPr>
          <w:spacing w:val="-6"/>
          <w:sz w:val="16"/>
        </w:rPr>
        <w:t> </w:t>
      </w:r>
      <w:r>
        <w:rPr>
          <w:sz w:val="16"/>
        </w:rPr>
        <w:t>agents</w:t>
      </w:r>
      <w:r>
        <w:rPr>
          <w:spacing w:val="-6"/>
          <w:sz w:val="16"/>
        </w:rPr>
        <w:t> </w:t>
      </w:r>
      <w:r>
        <w:rPr>
          <w:sz w:val="16"/>
        </w:rPr>
        <w:t>are</w:t>
      </w:r>
      <w:r>
        <w:rPr>
          <w:spacing w:val="40"/>
          <w:sz w:val="16"/>
        </w:rPr>
        <w:t> </w:t>
      </w:r>
      <w:r>
        <w:rPr>
          <w:sz w:val="16"/>
        </w:rPr>
        <w:t>active and monitored in real time through the PowerShell bridge and FastAPI</w:t>
      </w:r>
      <w:r>
        <w:rPr>
          <w:spacing w:val="40"/>
          <w:sz w:val="16"/>
        </w:rPr>
        <w:t> </w:t>
      </w:r>
      <w:r>
        <w:rPr>
          <w:sz w:val="16"/>
        </w:rPr>
        <w:t>backend pipeline.</w:t>
      </w:r>
    </w:p>
    <w:p>
      <w:pPr>
        <w:pStyle w:val="BodyText"/>
      </w:pPr>
    </w:p>
    <w:p>
      <w:pPr>
        <w:pStyle w:val="BodyText"/>
        <w:spacing w:before="44"/>
      </w:pPr>
    </w:p>
    <w:p>
      <w:pPr>
        <w:spacing w:line="240" w:lineRule="auto"/>
        <w:ind w:left="259" w:right="-87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209639" cy="2627947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9639" cy="2627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sz w:val="16"/>
        </w:rPr>
      </w:pPr>
    </w:p>
    <w:p>
      <w:pPr>
        <w:spacing w:line="232" w:lineRule="auto" w:before="1"/>
        <w:ind w:left="259" w:right="0" w:firstLine="0"/>
        <w:jc w:val="both"/>
        <w:rPr>
          <w:sz w:val="16"/>
        </w:rPr>
      </w:pPr>
      <w:r>
        <w:rPr>
          <w:sz w:val="16"/>
        </w:rPr>
        <w:t>Fig. 9.</w:t>
      </w:r>
      <w:r>
        <w:rPr>
          <w:spacing w:val="40"/>
          <w:sz w:val="16"/>
        </w:rPr>
        <w:t> </w:t>
      </w:r>
      <w:r>
        <w:rPr>
          <w:sz w:val="16"/>
        </w:rPr>
        <w:t>Live agent telemetry trace from the Rapid SCADA </w:t>
      </w:r>
      <w:r>
        <w:rPr>
          <w:sz w:val="16"/>
        </w:rPr>
        <w:t>deployment</w:t>
      </w:r>
      <w:r>
        <w:rPr>
          <w:spacing w:val="40"/>
          <w:sz w:val="16"/>
        </w:rPr>
        <w:t> </w:t>
      </w:r>
      <w:r>
        <w:rPr>
          <w:sz w:val="16"/>
        </w:rPr>
        <w:t>showing time-series measurements for representative agents across the 300-channel configuration.</w:t>
      </w:r>
    </w:p>
    <w:p>
      <w:pPr>
        <w:pStyle w:val="ListParagraph"/>
        <w:numPr>
          <w:ilvl w:val="0"/>
          <w:numId w:val="1"/>
        </w:numPr>
        <w:tabs>
          <w:tab w:pos="2353" w:val="left" w:leader="none"/>
        </w:tabs>
        <w:spacing w:line="240" w:lineRule="auto" w:before="146" w:after="0"/>
        <w:ind w:left="2353" w:right="0" w:hanging="367"/>
        <w:jc w:val="left"/>
        <w:rPr>
          <w:sz w:val="20"/>
        </w:rPr>
      </w:pPr>
      <w:r>
        <w:rPr/>
        <w:br w:type="column"/>
      </w:r>
      <w:r>
        <w:rPr>
          <w:smallCaps/>
          <w:spacing w:val="-2"/>
          <w:sz w:val="20"/>
        </w:rPr>
        <w:t>Discussion</w:t>
      </w:r>
    </w:p>
    <w:p>
      <w:pPr>
        <w:pStyle w:val="ListParagraph"/>
        <w:numPr>
          <w:ilvl w:val="0"/>
          <w:numId w:val="9"/>
        </w:numPr>
        <w:tabs>
          <w:tab w:pos="469" w:val="left" w:leader="none"/>
        </w:tabs>
        <w:spacing w:line="240" w:lineRule="auto" w:before="81" w:after="0"/>
        <w:ind w:left="469" w:right="0" w:hanging="270"/>
        <w:jc w:val="both"/>
        <w:rPr>
          <w:i/>
          <w:sz w:val="20"/>
        </w:rPr>
      </w:pPr>
      <w:r>
        <w:rPr>
          <w:i/>
          <w:spacing w:val="-2"/>
          <w:sz w:val="20"/>
        </w:rPr>
        <w:t>Architecture</w:t>
      </w:r>
      <w:r>
        <w:rPr>
          <w:i/>
          <w:spacing w:val="14"/>
          <w:sz w:val="20"/>
        </w:rPr>
        <w:t> </w:t>
      </w:r>
      <w:r>
        <w:rPr>
          <w:i/>
          <w:spacing w:val="-2"/>
          <w:sz w:val="20"/>
        </w:rPr>
        <w:t>Effectiveness</w:t>
      </w:r>
    </w:p>
    <w:p>
      <w:pPr>
        <w:pStyle w:val="BodyText"/>
        <w:spacing w:line="249" w:lineRule="auto" w:before="76"/>
        <w:ind w:left="199" w:right="257" w:firstLine="199"/>
        <w:jc w:val="both"/>
      </w:pPr>
      <w:r>
        <w:rPr/>
        <w:t>The five-method comparative study confirms that no </w:t>
      </w:r>
      <w:r>
        <w:rPr/>
        <w:t>single detection</w:t>
      </w:r>
      <w:r>
        <w:rPr>
          <w:spacing w:val="-10"/>
        </w:rPr>
        <w:t> </w:t>
      </w:r>
      <w:r>
        <w:rPr/>
        <w:t>mechanism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adequate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comprehensive</w:t>
      </w:r>
      <w:r>
        <w:rPr>
          <w:spacing w:val="-10"/>
        </w:rPr>
        <w:t> </w:t>
      </w:r>
      <w:r>
        <w:rPr/>
        <w:t>smart</w:t>
      </w:r>
      <w:r>
        <w:rPr>
          <w:spacing w:val="-10"/>
        </w:rPr>
        <w:t> </w:t>
      </w:r>
      <w:r>
        <w:rPr/>
        <w:t>grid anomaly</w:t>
      </w:r>
      <w:r>
        <w:rPr>
          <w:spacing w:val="-6"/>
        </w:rPr>
        <w:t> </w:t>
      </w:r>
      <w:r>
        <w:rPr/>
        <w:t>detection</w:t>
      </w:r>
      <w:r>
        <w:rPr>
          <w:spacing w:val="-6"/>
        </w:rPr>
        <w:t> </w:t>
      </w:r>
      <w:r>
        <w:rPr/>
        <w:t>across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three</w:t>
      </w:r>
      <w:r>
        <w:rPr>
          <w:spacing w:val="-6"/>
        </w:rPr>
        <w:t> </w:t>
      </w:r>
      <w:r>
        <w:rPr/>
        <w:t>target</w:t>
      </w:r>
      <w:r>
        <w:rPr>
          <w:spacing w:val="-6"/>
        </w:rPr>
        <w:t> </w:t>
      </w:r>
      <w:r>
        <w:rPr/>
        <w:t>attack</w:t>
      </w:r>
      <w:r>
        <w:rPr>
          <w:spacing w:val="-6"/>
        </w:rPr>
        <w:t> </w:t>
      </w:r>
      <w:r>
        <w:rPr/>
        <w:t>categories.</w:t>
      </w:r>
      <w:r>
        <w:rPr>
          <w:spacing w:val="-6"/>
        </w:rPr>
        <w:t> </w:t>
      </w:r>
      <w:r>
        <w:rPr/>
        <w:t>The deviation-only approach generates excessive false positives without temporal context. The LSTM-only approach avoids false positives but misses the majority of true anomalies. The proposed multi-layer architecture resolves this complementar-ity by fusing both signals and augmenting the result with attack-specific detectors that provide category-level discrim-</w:t>
      </w:r>
      <w:r>
        <w:rPr>
          <w:spacing w:val="-2"/>
        </w:rPr>
        <w:t>ination.</w:t>
      </w:r>
    </w:p>
    <w:p>
      <w:pPr>
        <w:pStyle w:val="BodyText"/>
        <w:spacing w:line="249" w:lineRule="auto" w:before="1"/>
        <w:ind w:left="199" w:right="257" w:firstLine="199"/>
        <w:jc w:val="both"/>
      </w:pPr>
      <w:r>
        <w:rPr/>
        <w:t>The 11.82 percentage point improvement in cost </w:t>
      </w:r>
      <w:r>
        <w:rPr/>
        <w:t>efficiency over</w:t>
      </w:r>
      <w:r>
        <w:rPr>
          <w:spacing w:val="-10"/>
        </w:rPr>
        <w:t> </w:t>
      </w:r>
      <w:r>
        <w:rPr/>
        <w:t>Q-learning</w:t>
      </w:r>
      <w:r>
        <w:rPr>
          <w:spacing w:val="-10"/>
        </w:rPr>
        <w:t> </w:t>
      </w:r>
      <w:r>
        <w:rPr/>
        <w:t>alone</w:t>
      </w:r>
      <w:r>
        <w:rPr>
          <w:spacing w:val="-10"/>
        </w:rPr>
        <w:t> </w:t>
      </w:r>
      <w:r>
        <w:rPr/>
        <w:t>demonstrates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gradient-based</w:t>
      </w:r>
      <w:r>
        <w:rPr>
          <w:spacing w:val="-10"/>
        </w:rPr>
        <w:t> </w:t>
      </w:r>
      <w:r>
        <w:rPr/>
        <w:t>op-timisation component provides meaningful budget allocation benefits.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Q-learning</w:t>
      </w:r>
      <w:r>
        <w:rPr>
          <w:spacing w:val="-13"/>
        </w:rPr>
        <w:t> </w:t>
      </w:r>
      <w:r>
        <w:rPr/>
        <w:t>component</w:t>
      </w:r>
      <w:r>
        <w:rPr>
          <w:spacing w:val="-12"/>
        </w:rPr>
        <w:t> </w:t>
      </w:r>
      <w:r>
        <w:rPr/>
        <w:t>handles</w:t>
      </w:r>
      <w:r>
        <w:rPr>
          <w:spacing w:val="-13"/>
        </w:rPr>
        <w:t> </w:t>
      </w:r>
      <w:r>
        <w:rPr/>
        <w:t>non-differentiable discrete</w:t>
      </w:r>
      <w:r>
        <w:rPr>
          <w:spacing w:val="-12"/>
        </w:rPr>
        <w:t> </w:t>
      </w:r>
      <w:r>
        <w:rPr/>
        <w:t>escalation</w:t>
      </w:r>
      <w:r>
        <w:rPr>
          <w:spacing w:val="-12"/>
        </w:rPr>
        <w:t> </w:t>
      </w:r>
      <w:r>
        <w:rPr/>
        <w:t>decisions,</w:t>
      </w:r>
      <w:r>
        <w:rPr>
          <w:spacing w:val="-12"/>
        </w:rPr>
        <w:t> </w:t>
      </w:r>
      <w:r>
        <w:rPr/>
        <w:t>while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gradient</w:t>
      </w:r>
      <w:r>
        <w:rPr>
          <w:spacing w:val="-12"/>
        </w:rPr>
        <w:t> </w:t>
      </w:r>
      <w:r>
        <w:rPr/>
        <w:t>component</w:t>
      </w:r>
      <w:r>
        <w:rPr>
          <w:spacing w:val="-12"/>
        </w:rPr>
        <w:t> </w:t>
      </w:r>
      <w:r>
        <w:rPr/>
        <w:t>op-timises</w:t>
      </w:r>
      <w:r>
        <w:rPr>
          <w:spacing w:val="-11"/>
        </w:rPr>
        <w:t> </w:t>
      </w:r>
      <w:r>
        <w:rPr/>
        <w:t>continuous</w:t>
      </w:r>
      <w:r>
        <w:rPr>
          <w:spacing w:val="-10"/>
        </w:rPr>
        <w:t> </w:t>
      </w:r>
      <w:r>
        <w:rPr/>
        <w:t>cost</w:t>
      </w:r>
      <w:r>
        <w:rPr>
          <w:spacing w:val="-11"/>
        </w:rPr>
        <w:t> </w:t>
      </w:r>
      <w:r>
        <w:rPr/>
        <w:t>allocation—a</w:t>
      </w:r>
      <w:r>
        <w:rPr>
          <w:spacing w:val="-11"/>
        </w:rPr>
        <w:t> </w:t>
      </w:r>
      <w:r>
        <w:rPr/>
        <w:t>division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responsibility that neither method alone can address.</w:t>
      </w:r>
    </w:p>
    <w:p>
      <w:pPr>
        <w:pStyle w:val="ListParagraph"/>
        <w:numPr>
          <w:ilvl w:val="0"/>
          <w:numId w:val="9"/>
        </w:numPr>
        <w:tabs>
          <w:tab w:pos="469" w:val="left" w:leader="none"/>
        </w:tabs>
        <w:spacing w:line="240" w:lineRule="auto" w:before="146" w:after="0"/>
        <w:ind w:left="469" w:right="0" w:hanging="270"/>
        <w:jc w:val="both"/>
        <w:rPr>
          <w:i/>
          <w:sz w:val="20"/>
        </w:rPr>
      </w:pPr>
      <w:r>
        <w:rPr>
          <w:i/>
          <w:sz w:val="20"/>
        </w:rPr>
        <w:t>Scalability</w:t>
      </w:r>
      <w:r>
        <w:rPr>
          <w:i/>
          <w:spacing w:val="10"/>
          <w:sz w:val="20"/>
        </w:rPr>
        <w:t> </w:t>
      </w:r>
      <w:r>
        <w:rPr>
          <w:i/>
          <w:spacing w:val="-2"/>
          <w:sz w:val="20"/>
        </w:rPr>
        <w:t>Boundary</w:t>
      </w:r>
    </w:p>
    <w:p>
      <w:pPr>
        <w:pStyle w:val="BodyText"/>
        <w:spacing w:line="249" w:lineRule="auto" w:before="77"/>
        <w:ind w:left="199" w:right="257" w:firstLine="199"/>
        <w:jc w:val="both"/>
      </w:pPr>
      <w:r>
        <w:rPr/>
        <w:t>The N=200 results suggest that the current </w:t>
      </w:r>
      <w:r>
        <w:rPr/>
        <w:t>architecture supports</w:t>
      </w:r>
      <w:r>
        <w:rPr>
          <w:spacing w:val="-8"/>
        </w:rPr>
        <w:t> </w:t>
      </w:r>
      <w:r>
        <w:rPr/>
        <w:t>near-doubling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agent</w:t>
      </w:r>
      <w:r>
        <w:rPr>
          <w:spacing w:val="-8"/>
        </w:rPr>
        <w:t> </w:t>
      </w:r>
      <w:r>
        <w:rPr/>
        <w:t>population</w:t>
      </w:r>
      <w:r>
        <w:rPr>
          <w:spacing w:val="-8"/>
        </w:rPr>
        <w:t> </w:t>
      </w:r>
      <w:r>
        <w:rPr/>
        <w:t>without</w:t>
      </w:r>
      <w:r>
        <w:rPr>
          <w:spacing w:val="-8"/>
        </w:rPr>
        <w:t> </w:t>
      </w:r>
      <w:r>
        <w:rPr/>
        <w:t>signifi-cant accuracy degradation (99.28% vs. 99.61%) and with only modest risk mitigation reduction. The N=500 results indicate</w:t>
      </w:r>
      <w:r>
        <w:rPr>
          <w:spacing w:val="80"/>
        </w:rPr>
        <w:t> </w:t>
      </w:r>
      <w:r>
        <w:rPr/>
        <w:t>a genuine performance boundary driven by calibration drift (fixed thresholds becoming suboptimal at larger scales) and sequential pipeline throughput. These are addressable through per-scale threshold calibration and batched or distributed LSTM inference.</w:t>
      </w:r>
    </w:p>
    <w:p>
      <w:pPr>
        <w:pStyle w:val="ListParagraph"/>
        <w:numPr>
          <w:ilvl w:val="0"/>
          <w:numId w:val="9"/>
        </w:numPr>
        <w:tabs>
          <w:tab w:pos="480" w:val="left" w:leader="none"/>
        </w:tabs>
        <w:spacing w:line="240" w:lineRule="auto" w:before="146" w:after="0"/>
        <w:ind w:left="480" w:right="0" w:hanging="281"/>
        <w:jc w:val="both"/>
        <w:rPr>
          <w:i/>
          <w:sz w:val="20"/>
        </w:rPr>
      </w:pPr>
      <w:r>
        <w:rPr>
          <w:i/>
          <w:spacing w:val="-2"/>
          <w:sz w:val="20"/>
        </w:rPr>
        <w:t>Limitations</w:t>
      </w:r>
    </w:p>
    <w:p>
      <w:pPr>
        <w:pStyle w:val="BodyText"/>
        <w:spacing w:line="249" w:lineRule="auto" w:before="77"/>
        <w:ind w:left="199" w:right="257" w:firstLine="199"/>
        <w:jc w:val="both"/>
      </w:pPr>
      <w:r>
        <w:rPr/>
        <w:t>The current telemetry originates from Rapid SCADA </w:t>
      </w:r>
      <w:r>
        <w:rPr/>
        <w:t>cal-culated channels rather than physical RTUs or IEDs. Valida-tion against physical infrastructure with genuine measurement noise, device faults, and environmental variability remains future work. The LSTM model requires labelled training data, which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difficult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acquire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rare</w:t>
      </w:r>
      <w:r>
        <w:rPr>
          <w:spacing w:val="-3"/>
        </w:rPr>
        <w:t> </w:t>
      </w:r>
      <w:r>
        <w:rPr/>
        <w:t>attack</w:t>
      </w:r>
      <w:r>
        <w:rPr>
          <w:spacing w:val="-3"/>
        </w:rPr>
        <w:t> </w:t>
      </w:r>
      <w:r>
        <w:rPr/>
        <w:t>types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operational settings. The detection thresholds are fixed and do not adapt</w:t>
      </w:r>
      <w:r>
        <w:rPr>
          <w:spacing w:val="80"/>
        </w:rPr>
        <w:t> </w:t>
      </w:r>
      <w:r>
        <w:rPr/>
        <w:t>to seasonal load variation or equipment ageing.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ListParagraph"/>
        <w:numPr>
          <w:ilvl w:val="0"/>
          <w:numId w:val="1"/>
        </w:numPr>
        <w:tabs>
          <w:tab w:pos="1513" w:val="left" w:leader="none"/>
        </w:tabs>
        <w:spacing w:line="240" w:lineRule="auto" w:before="71" w:after="0"/>
        <w:ind w:left="1513" w:right="0" w:hanging="442"/>
        <w:jc w:val="left"/>
        <w:rPr>
          <w:sz w:val="20"/>
        </w:rPr>
      </w:pPr>
      <w:r>
        <w:rPr>
          <w:smallCaps/>
          <w:sz w:val="20"/>
        </w:rPr>
        <w:t>Conclusion</w:t>
      </w:r>
      <w:r>
        <w:rPr>
          <w:smallCaps/>
          <w:spacing w:val="60"/>
          <w:sz w:val="20"/>
        </w:rPr>
        <w:t> </w:t>
      </w:r>
      <w:r>
        <w:rPr>
          <w:smallCaps/>
          <w:sz w:val="20"/>
        </w:rPr>
        <w:t>and</w:t>
      </w:r>
      <w:r>
        <w:rPr>
          <w:smallCaps/>
          <w:spacing w:val="61"/>
          <w:sz w:val="20"/>
        </w:rPr>
        <w:t> </w:t>
      </w:r>
      <w:r>
        <w:rPr>
          <w:smallCaps/>
          <w:sz w:val="20"/>
        </w:rPr>
        <w:t>Future</w:t>
      </w:r>
      <w:r>
        <w:rPr>
          <w:smallCaps/>
          <w:spacing w:val="60"/>
          <w:sz w:val="20"/>
        </w:rPr>
        <w:t> </w:t>
      </w:r>
      <w:r>
        <w:rPr>
          <w:smallCaps/>
          <w:spacing w:val="-4"/>
          <w:sz w:val="20"/>
        </w:rPr>
        <w:t>Work</w:t>
      </w:r>
    </w:p>
    <w:p>
      <w:pPr>
        <w:pStyle w:val="BodyText"/>
        <w:spacing w:line="249" w:lineRule="auto" w:before="94"/>
        <w:ind w:left="259" w:firstLine="199"/>
        <w:jc w:val="both"/>
      </w:pPr>
      <w:r>
        <w:rPr/>
        <w:t>This paper presented the SmartGrid AI Audit </w:t>
      </w:r>
      <w:r>
        <w:rPr/>
        <w:t>Framework,</w:t>
      </w:r>
      <w:r>
        <w:rPr>
          <w:spacing w:val="80"/>
          <w:w w:val="150"/>
        </w:rPr>
        <w:t> </w:t>
      </w:r>
      <w:r>
        <w:rPr/>
        <w:t>a multi-layer anomaly detection and hybrid audit intelligence platform for cyber-physical smart grid monitoring. The de-tection architecture stages statistical deviation scoring, LSTM temporal inference, weighted ensemble fusion, and three spe-cialised attack detectors within a unified pipeline. The hybrid audit scheduler combines Q-learning with gradient-based cost optimisation,</w:t>
      </w:r>
      <w:r>
        <w:rPr>
          <w:spacing w:val="-5"/>
        </w:rPr>
        <w:t> </w:t>
      </w:r>
      <w:r>
        <w:rPr/>
        <w:t>achieving</w:t>
      </w:r>
      <w:r>
        <w:rPr>
          <w:spacing w:val="-5"/>
        </w:rPr>
        <w:t> </w:t>
      </w:r>
      <w:r>
        <w:rPr/>
        <w:t>54.32%</w:t>
      </w:r>
      <w:r>
        <w:rPr>
          <w:spacing w:val="-5"/>
        </w:rPr>
        <w:t> </w:t>
      </w:r>
      <w:r>
        <w:rPr/>
        <w:t>cost</w:t>
      </w:r>
      <w:r>
        <w:rPr>
          <w:spacing w:val="-5"/>
        </w:rPr>
        <w:t> </w:t>
      </w:r>
      <w:r>
        <w:rPr/>
        <w:t>efficiency</w:t>
      </w:r>
      <w:r>
        <w:rPr>
          <w:spacing w:val="-5"/>
        </w:rPr>
        <w:t> </w:t>
      </w:r>
      <w:r>
        <w:rPr/>
        <w:t>compared</w:t>
      </w:r>
      <w:r>
        <w:rPr>
          <w:spacing w:val="-5"/>
        </w:rPr>
        <w:t> </w:t>
      </w:r>
      <w:r>
        <w:rPr/>
        <w:t>with 42.5%</w:t>
      </w:r>
      <w:r>
        <w:rPr>
          <w:spacing w:val="-10"/>
        </w:rPr>
        <w:t> </w:t>
      </w:r>
      <w:r>
        <w:rPr/>
        <w:t>for</w:t>
      </w:r>
      <w:r>
        <w:rPr>
          <w:spacing w:val="-11"/>
        </w:rPr>
        <w:t> </w:t>
      </w:r>
      <w:r>
        <w:rPr/>
        <w:t>Q-learning</w:t>
      </w:r>
      <w:r>
        <w:rPr>
          <w:spacing w:val="-10"/>
        </w:rPr>
        <w:t> </w:t>
      </w:r>
      <w:r>
        <w:rPr/>
        <w:t>alone.</w:t>
      </w:r>
      <w:r>
        <w:rPr>
          <w:spacing w:val="-11"/>
        </w:rPr>
        <w:t> </w:t>
      </w:r>
      <w:r>
        <w:rPr/>
        <w:t>End-to-end</w:t>
      </w:r>
      <w:r>
        <w:rPr>
          <w:spacing w:val="-10"/>
        </w:rPr>
        <w:t> </w:t>
      </w:r>
      <w:r>
        <w:rPr/>
        <w:t>integration</w:t>
      </w:r>
      <w:r>
        <w:rPr>
          <w:spacing w:val="-10"/>
        </w:rPr>
        <w:t> </w:t>
      </w:r>
      <w:r>
        <w:rPr/>
        <w:t>with</w:t>
      </w:r>
      <w:r>
        <w:rPr>
          <w:spacing w:val="-11"/>
        </w:rPr>
        <w:t> </w:t>
      </w:r>
      <w:r>
        <w:rPr/>
        <w:t>Rapid SCADA provides a complete supervisory telemetry pipeline for 100 heterogeneous grid agents.</w:t>
      </w:r>
    </w:p>
    <w:p>
      <w:pPr>
        <w:pStyle w:val="BodyText"/>
        <w:spacing w:line="249" w:lineRule="auto" w:before="3"/>
        <w:ind w:left="259" w:firstLine="199"/>
        <w:jc w:val="both"/>
      </w:pPr>
      <w:r>
        <w:rPr/>
        <w:t>Experimental results confirm 99.61% detection </w:t>
      </w:r>
      <w:r>
        <w:rPr/>
        <w:t>accuracy, 100% risk mitigation, and 100% audit coverage at the 100-agent scale, with all metrics surpassing the base paper. The five-method comparative study establishes the superiority of the multi-layer approach across accuracy (94.23%), F1 score (82.25%), and false positive rate (1.81%) against all four evaluated baselines.</w:t>
      </w:r>
    </w:p>
    <w:p>
      <w:pPr>
        <w:pStyle w:val="BodyText"/>
        <w:spacing w:line="249" w:lineRule="auto" w:before="4"/>
        <w:ind w:left="259" w:firstLine="199"/>
        <w:jc w:val="both"/>
      </w:pPr>
      <w:r>
        <w:rPr/>
        <w:t>Future work directions include: (1) replacing </w:t>
      </w:r>
      <w:r>
        <w:rPr/>
        <w:t>calculated SCADA channels with physical device telemetry to validate under genuine field conditions; (2) implementing distributed inference and batched processing to support 1,000+ agent deployments;</w:t>
      </w:r>
      <w:r>
        <w:rPr>
          <w:spacing w:val="-3"/>
        </w:rPr>
        <w:t> </w:t>
      </w:r>
      <w:r>
        <w:rPr/>
        <w:t>(3)</w:t>
      </w:r>
      <w:r>
        <w:rPr>
          <w:spacing w:val="-3"/>
        </w:rPr>
        <w:t> </w:t>
      </w:r>
      <w:r>
        <w:rPr/>
        <w:t>developing</w:t>
      </w:r>
      <w:r>
        <w:rPr>
          <w:spacing w:val="-3"/>
        </w:rPr>
        <w:t> </w:t>
      </w:r>
      <w:r>
        <w:rPr/>
        <w:t>adaptive</w:t>
      </w:r>
      <w:r>
        <w:rPr>
          <w:spacing w:val="-3"/>
        </w:rPr>
        <w:t> </w:t>
      </w:r>
      <w:r>
        <w:rPr/>
        <w:t>per-scale</w:t>
      </w:r>
      <w:r>
        <w:rPr>
          <w:spacing w:val="-3"/>
        </w:rPr>
        <w:t> </w:t>
      </w:r>
      <w:r>
        <w:rPr/>
        <w:t>threshold</w:t>
      </w:r>
      <w:r>
        <w:rPr>
          <w:spacing w:val="-3"/>
        </w:rPr>
        <w:t> </w:t>
      </w:r>
      <w:r>
        <w:rPr/>
        <w:t>cali-bration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maintain</w:t>
      </w:r>
      <w:r>
        <w:rPr>
          <w:spacing w:val="-10"/>
        </w:rPr>
        <w:t> </w:t>
      </w:r>
      <w:r>
        <w:rPr/>
        <w:t>detection</w:t>
      </w:r>
      <w:r>
        <w:rPr>
          <w:spacing w:val="-10"/>
        </w:rPr>
        <w:t> </w:t>
      </w:r>
      <w:r>
        <w:rPr/>
        <w:t>performance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agent</w:t>
      </w:r>
      <w:r>
        <w:rPr>
          <w:spacing w:val="-10"/>
        </w:rPr>
        <w:t> </w:t>
      </w:r>
      <w:r>
        <w:rPr/>
        <w:t>populations and load profiles evolve; (4) evaluating the detection pipeline against adversarial attack strategies targeting the boundary conditions between detection layers; and (5) integrating the audit framework with IDS/SIEM platforms for coordinated threat response.</w:t>
      </w:r>
    </w:p>
    <w:p>
      <w:pPr>
        <w:pStyle w:val="ListParagraph"/>
        <w:numPr>
          <w:ilvl w:val="0"/>
          <w:numId w:val="10"/>
        </w:numPr>
        <w:tabs>
          <w:tab w:pos="562" w:val="left" w:leader="none"/>
          <w:tab w:pos="564" w:val="left" w:leader="none"/>
        </w:tabs>
        <w:spacing w:line="232" w:lineRule="auto" w:before="113" w:after="0"/>
        <w:ind w:left="564" w:right="257" w:hanging="366"/>
        <w:jc w:val="both"/>
        <w:rPr>
          <w:sz w:val="16"/>
        </w:rPr>
      </w:pPr>
      <w:r>
        <w:rPr/>
        <w:br w:type="column"/>
      </w:r>
      <w:r>
        <w:rPr>
          <w:sz w:val="16"/>
        </w:rPr>
        <w:t>Z. Hu, Y. Bao, T. Xiong, and R. Chiong, “Detection of false data</w:t>
      </w:r>
      <w:r>
        <w:rPr>
          <w:spacing w:val="40"/>
          <w:sz w:val="16"/>
        </w:rPr>
        <w:t> </w:t>
      </w:r>
      <w:r>
        <w:rPr>
          <w:sz w:val="16"/>
        </w:rPr>
        <w:t>injection attacks in smart grids based on expectation-</w:t>
      </w:r>
      <w:r>
        <w:rPr>
          <w:sz w:val="16"/>
        </w:rPr>
        <w:t>maximization,”</w:t>
      </w:r>
      <w:r>
        <w:rPr>
          <w:spacing w:val="40"/>
          <w:sz w:val="16"/>
        </w:rPr>
        <w:t> </w:t>
      </w:r>
      <w:r>
        <w:rPr>
          <w:i/>
          <w:sz w:val="16"/>
        </w:rPr>
        <w:t>IEEE Trans. Power Syst.</w:t>
      </w:r>
      <w:r>
        <w:rPr>
          <w:sz w:val="16"/>
        </w:rPr>
        <w:t>, vol. 38, no. 2, pp. 1196–1208, 2023.</w:t>
      </w:r>
    </w:p>
    <w:p>
      <w:pPr>
        <w:pStyle w:val="ListParagraph"/>
        <w:numPr>
          <w:ilvl w:val="0"/>
          <w:numId w:val="10"/>
        </w:numPr>
        <w:tabs>
          <w:tab w:pos="562" w:val="left" w:leader="none"/>
          <w:tab w:pos="564" w:val="left" w:leader="none"/>
        </w:tabs>
        <w:spacing w:line="232" w:lineRule="auto" w:before="3" w:after="0"/>
        <w:ind w:left="564" w:right="257" w:hanging="366"/>
        <w:jc w:val="both"/>
        <w:rPr>
          <w:sz w:val="16"/>
        </w:rPr>
      </w:pPr>
      <w:r>
        <w:rPr>
          <w:sz w:val="16"/>
        </w:rPr>
        <w:t>H. Yin, T. Lan, and C.-Z. Xu, “Event detection and classification </w:t>
      </w:r>
      <w:r>
        <w:rPr>
          <w:sz w:val="16"/>
        </w:rPr>
        <w:t>using</w:t>
      </w:r>
      <w:r>
        <w:rPr>
          <w:spacing w:val="40"/>
          <w:sz w:val="16"/>
        </w:rPr>
        <w:t> </w:t>
      </w:r>
      <w:r>
        <w:rPr>
          <w:sz w:val="16"/>
        </w:rPr>
        <w:t>synchrophasor</w:t>
      </w:r>
      <w:r>
        <w:rPr>
          <w:spacing w:val="-10"/>
          <w:sz w:val="16"/>
        </w:rPr>
        <w:t> </w:t>
      </w:r>
      <w:r>
        <w:rPr>
          <w:sz w:val="16"/>
        </w:rPr>
        <w:t>data</w:t>
      </w:r>
      <w:r>
        <w:rPr>
          <w:spacing w:val="-10"/>
          <w:sz w:val="16"/>
        </w:rPr>
        <w:t> </w:t>
      </w:r>
      <w:r>
        <w:rPr>
          <w:sz w:val="16"/>
        </w:rPr>
        <w:t>for</w:t>
      </w:r>
      <w:r>
        <w:rPr>
          <w:spacing w:val="-10"/>
          <w:sz w:val="16"/>
        </w:rPr>
        <w:t> </w:t>
      </w:r>
      <w:r>
        <w:rPr>
          <w:sz w:val="16"/>
        </w:rPr>
        <w:t>power</w:t>
      </w:r>
      <w:r>
        <w:rPr>
          <w:spacing w:val="-10"/>
          <w:sz w:val="16"/>
        </w:rPr>
        <w:t> </w:t>
      </w:r>
      <w:r>
        <w:rPr>
          <w:sz w:val="16"/>
        </w:rPr>
        <w:t>system</w:t>
      </w:r>
      <w:r>
        <w:rPr>
          <w:spacing w:val="-10"/>
          <w:sz w:val="16"/>
        </w:rPr>
        <w:t> </w:t>
      </w:r>
      <w:r>
        <w:rPr>
          <w:sz w:val="16"/>
        </w:rPr>
        <w:t>real-time</w:t>
      </w:r>
      <w:r>
        <w:rPr>
          <w:spacing w:val="-10"/>
          <w:sz w:val="16"/>
        </w:rPr>
        <w:t> </w:t>
      </w:r>
      <w:r>
        <w:rPr>
          <w:sz w:val="16"/>
        </w:rPr>
        <w:t>monitoring,”</w:t>
      </w:r>
      <w:r>
        <w:rPr>
          <w:spacing w:val="-10"/>
          <w:sz w:val="16"/>
        </w:rPr>
        <w:t> </w:t>
      </w:r>
      <w:r>
        <w:rPr>
          <w:i/>
          <w:sz w:val="16"/>
        </w:rPr>
        <w:t>IEEE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Trans.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Power Syst.</w:t>
      </w:r>
      <w:r>
        <w:rPr>
          <w:sz w:val="16"/>
        </w:rPr>
        <w:t>, vol. 32, no. 5, pp. 3913–3921, 2017.</w:t>
      </w:r>
    </w:p>
    <w:p>
      <w:pPr>
        <w:pStyle w:val="ListParagraph"/>
        <w:numPr>
          <w:ilvl w:val="0"/>
          <w:numId w:val="10"/>
        </w:numPr>
        <w:tabs>
          <w:tab w:pos="562" w:val="left" w:leader="none"/>
          <w:tab w:pos="564" w:val="left" w:leader="none"/>
        </w:tabs>
        <w:spacing w:line="232" w:lineRule="auto" w:before="2" w:after="0"/>
        <w:ind w:left="564" w:right="257" w:hanging="366"/>
        <w:jc w:val="both"/>
        <w:rPr>
          <w:sz w:val="16"/>
        </w:rPr>
      </w:pPr>
      <w:r>
        <w:rPr>
          <w:sz w:val="16"/>
        </w:rPr>
        <w:t>C. J. C. H. Watkins and P. Dayan, “Q-learning,” </w:t>
      </w:r>
      <w:r>
        <w:rPr>
          <w:i/>
          <w:sz w:val="16"/>
        </w:rPr>
        <w:t>Mach. Learn.</w:t>
      </w:r>
      <w:r>
        <w:rPr>
          <w:sz w:val="16"/>
        </w:rPr>
        <w:t>, vol. </w:t>
      </w:r>
      <w:r>
        <w:rPr>
          <w:sz w:val="16"/>
        </w:rPr>
        <w:t>8,</w:t>
      </w:r>
      <w:r>
        <w:rPr>
          <w:spacing w:val="40"/>
          <w:sz w:val="16"/>
        </w:rPr>
        <w:t> </w:t>
      </w:r>
      <w:r>
        <w:rPr>
          <w:sz w:val="16"/>
        </w:rPr>
        <w:t>no. 3–4, pp. 279–292, 1992.</w:t>
      </w:r>
    </w:p>
    <w:p>
      <w:pPr>
        <w:pStyle w:val="ListParagraph"/>
        <w:numPr>
          <w:ilvl w:val="0"/>
          <w:numId w:val="10"/>
        </w:numPr>
        <w:tabs>
          <w:tab w:pos="563" w:val="left" w:leader="none"/>
        </w:tabs>
        <w:spacing w:line="179" w:lineRule="exact" w:before="0" w:after="0"/>
        <w:ind w:left="563" w:right="0" w:hanging="364"/>
        <w:jc w:val="both"/>
        <w:rPr>
          <w:sz w:val="16"/>
        </w:rPr>
      </w:pPr>
      <w:r>
        <w:rPr>
          <w:sz w:val="16"/>
        </w:rPr>
        <w:t>I.</w:t>
      </w:r>
      <w:r>
        <w:rPr>
          <w:spacing w:val="10"/>
          <w:sz w:val="16"/>
        </w:rPr>
        <w:t> </w:t>
      </w:r>
      <w:r>
        <w:rPr>
          <w:sz w:val="16"/>
        </w:rPr>
        <w:t>H.</w:t>
      </w:r>
      <w:r>
        <w:rPr>
          <w:spacing w:val="10"/>
          <w:sz w:val="16"/>
        </w:rPr>
        <w:t> </w:t>
      </w:r>
      <w:r>
        <w:rPr>
          <w:sz w:val="16"/>
        </w:rPr>
        <w:t>Sarker,</w:t>
      </w:r>
      <w:r>
        <w:rPr>
          <w:spacing w:val="10"/>
          <w:sz w:val="16"/>
        </w:rPr>
        <w:t> </w:t>
      </w:r>
      <w:r>
        <w:rPr>
          <w:sz w:val="16"/>
        </w:rPr>
        <w:t>A.</w:t>
      </w:r>
      <w:r>
        <w:rPr>
          <w:spacing w:val="10"/>
          <w:sz w:val="16"/>
        </w:rPr>
        <w:t> </w:t>
      </w:r>
      <w:r>
        <w:rPr>
          <w:sz w:val="16"/>
        </w:rPr>
        <w:t>S.</w:t>
      </w:r>
      <w:r>
        <w:rPr>
          <w:spacing w:val="10"/>
          <w:sz w:val="16"/>
        </w:rPr>
        <w:t> </w:t>
      </w:r>
      <w:r>
        <w:rPr>
          <w:sz w:val="16"/>
        </w:rPr>
        <w:t>M.</w:t>
      </w:r>
      <w:r>
        <w:rPr>
          <w:spacing w:val="10"/>
          <w:sz w:val="16"/>
        </w:rPr>
        <w:t> </w:t>
      </w:r>
      <w:r>
        <w:rPr>
          <w:sz w:val="16"/>
        </w:rPr>
        <w:t>Kayes,</w:t>
      </w:r>
      <w:r>
        <w:rPr>
          <w:spacing w:val="10"/>
          <w:sz w:val="16"/>
        </w:rPr>
        <w:t> </w:t>
      </w:r>
      <w:r>
        <w:rPr>
          <w:sz w:val="16"/>
        </w:rPr>
        <w:t>S.</w:t>
      </w:r>
      <w:r>
        <w:rPr>
          <w:spacing w:val="10"/>
          <w:sz w:val="16"/>
        </w:rPr>
        <w:t> </w:t>
      </w:r>
      <w:r>
        <w:rPr>
          <w:sz w:val="16"/>
        </w:rPr>
        <w:t>Badsha,</w:t>
      </w:r>
      <w:r>
        <w:rPr>
          <w:spacing w:val="10"/>
          <w:sz w:val="16"/>
        </w:rPr>
        <w:t> </w:t>
      </w:r>
      <w:r>
        <w:rPr>
          <w:sz w:val="16"/>
        </w:rPr>
        <w:t>H.</w:t>
      </w:r>
      <w:r>
        <w:rPr>
          <w:spacing w:val="10"/>
          <w:sz w:val="16"/>
        </w:rPr>
        <w:t> </w:t>
      </w:r>
      <w:r>
        <w:rPr>
          <w:sz w:val="16"/>
        </w:rPr>
        <w:t>Alqahtani,</w:t>
      </w:r>
      <w:r>
        <w:rPr>
          <w:spacing w:val="10"/>
          <w:sz w:val="16"/>
        </w:rPr>
        <w:t> </w:t>
      </w:r>
      <w:r>
        <w:rPr>
          <w:sz w:val="16"/>
        </w:rPr>
        <w:t>P.</w:t>
      </w:r>
      <w:r>
        <w:rPr>
          <w:spacing w:val="10"/>
          <w:sz w:val="16"/>
        </w:rPr>
        <w:t> </w:t>
      </w:r>
      <w:r>
        <w:rPr>
          <w:sz w:val="16"/>
        </w:rPr>
        <w:t>Watters,</w:t>
      </w:r>
      <w:r>
        <w:rPr>
          <w:spacing w:val="10"/>
          <w:sz w:val="16"/>
        </w:rPr>
        <w:t> </w:t>
      </w:r>
      <w:r>
        <w:rPr>
          <w:spacing w:val="-5"/>
          <w:sz w:val="16"/>
        </w:rPr>
        <w:t>and</w:t>
      </w:r>
    </w:p>
    <w:p>
      <w:pPr>
        <w:spacing w:line="232" w:lineRule="auto" w:before="2"/>
        <w:ind w:left="564" w:right="257" w:firstLine="0"/>
        <w:jc w:val="both"/>
        <w:rPr>
          <w:sz w:val="16"/>
        </w:rPr>
      </w:pPr>
      <w:r>
        <w:rPr>
          <w:sz w:val="16"/>
        </w:rPr>
        <w:t>A.</w:t>
      </w:r>
      <w:r>
        <w:rPr>
          <w:spacing w:val="-6"/>
          <w:sz w:val="16"/>
        </w:rPr>
        <w:t> </w:t>
      </w:r>
      <w:r>
        <w:rPr>
          <w:sz w:val="16"/>
        </w:rPr>
        <w:t>Ng,</w:t>
      </w:r>
      <w:r>
        <w:rPr>
          <w:spacing w:val="-6"/>
          <w:sz w:val="16"/>
        </w:rPr>
        <w:t> </w:t>
      </w:r>
      <w:r>
        <w:rPr>
          <w:sz w:val="16"/>
        </w:rPr>
        <w:t>“Cybersecurity</w:t>
      </w:r>
      <w:r>
        <w:rPr>
          <w:spacing w:val="-6"/>
          <w:sz w:val="16"/>
        </w:rPr>
        <w:t> </w:t>
      </w:r>
      <w:r>
        <w:rPr>
          <w:sz w:val="16"/>
        </w:rPr>
        <w:t>data</w:t>
      </w:r>
      <w:r>
        <w:rPr>
          <w:spacing w:val="-6"/>
          <w:sz w:val="16"/>
        </w:rPr>
        <w:t> </w:t>
      </w:r>
      <w:r>
        <w:rPr>
          <w:sz w:val="16"/>
        </w:rPr>
        <w:t>science:</w:t>
      </w:r>
      <w:r>
        <w:rPr>
          <w:spacing w:val="-6"/>
          <w:sz w:val="16"/>
        </w:rPr>
        <w:t> </w:t>
      </w:r>
      <w:r>
        <w:rPr>
          <w:sz w:val="16"/>
        </w:rPr>
        <w:t>An</w:t>
      </w:r>
      <w:r>
        <w:rPr>
          <w:spacing w:val="-6"/>
          <w:sz w:val="16"/>
        </w:rPr>
        <w:t> </w:t>
      </w:r>
      <w:r>
        <w:rPr>
          <w:sz w:val="16"/>
        </w:rPr>
        <w:t>overview</w:t>
      </w:r>
      <w:r>
        <w:rPr>
          <w:spacing w:val="-6"/>
          <w:sz w:val="16"/>
        </w:rPr>
        <w:t> </w:t>
      </w:r>
      <w:r>
        <w:rPr>
          <w:sz w:val="16"/>
        </w:rPr>
        <w:t>from</w:t>
      </w:r>
      <w:r>
        <w:rPr>
          <w:spacing w:val="-6"/>
          <w:sz w:val="16"/>
        </w:rPr>
        <w:t> </w:t>
      </w:r>
      <w:r>
        <w:rPr>
          <w:sz w:val="16"/>
        </w:rPr>
        <w:t>machine</w:t>
      </w:r>
      <w:r>
        <w:rPr>
          <w:spacing w:val="-6"/>
          <w:sz w:val="16"/>
        </w:rPr>
        <w:t> </w:t>
      </w:r>
      <w:r>
        <w:rPr>
          <w:sz w:val="16"/>
        </w:rPr>
        <w:t>learning</w:t>
      </w:r>
      <w:r>
        <w:rPr>
          <w:spacing w:val="40"/>
          <w:sz w:val="16"/>
        </w:rPr>
        <w:t> </w:t>
      </w:r>
      <w:r>
        <w:rPr>
          <w:sz w:val="16"/>
        </w:rPr>
        <w:t>perspective,” </w:t>
      </w:r>
      <w:r>
        <w:rPr>
          <w:i/>
          <w:sz w:val="16"/>
        </w:rPr>
        <w:t>J. Big Data</w:t>
      </w:r>
      <w:r>
        <w:rPr>
          <w:sz w:val="16"/>
        </w:rPr>
        <w:t>, vol. 7, no. 1, pp. 1–29, 2020.</w:t>
      </w:r>
    </w:p>
    <w:p>
      <w:pPr>
        <w:pStyle w:val="ListParagraph"/>
        <w:numPr>
          <w:ilvl w:val="0"/>
          <w:numId w:val="10"/>
        </w:numPr>
        <w:tabs>
          <w:tab w:pos="562" w:val="left" w:leader="none"/>
          <w:tab w:pos="564" w:val="left" w:leader="none"/>
        </w:tabs>
        <w:spacing w:line="232" w:lineRule="auto" w:before="2" w:after="0"/>
        <w:ind w:left="564" w:right="257" w:hanging="366"/>
        <w:jc w:val="both"/>
        <w:rPr>
          <w:sz w:val="16"/>
        </w:rPr>
      </w:pPr>
      <w:r>
        <w:rPr>
          <w:sz w:val="16"/>
        </w:rPr>
        <w:t>D.</w:t>
      </w:r>
      <w:r>
        <w:rPr>
          <w:spacing w:val="-1"/>
          <w:sz w:val="16"/>
        </w:rPr>
        <w:t> </w:t>
      </w:r>
      <w:r>
        <w:rPr>
          <w:sz w:val="16"/>
        </w:rPr>
        <w:t>P.</w:t>
      </w:r>
      <w:r>
        <w:rPr>
          <w:spacing w:val="-1"/>
          <w:sz w:val="16"/>
        </w:rPr>
        <w:t> </w:t>
      </w:r>
      <w:r>
        <w:rPr>
          <w:sz w:val="16"/>
        </w:rPr>
        <w:t>Kingma</w:t>
      </w:r>
      <w:r>
        <w:rPr>
          <w:spacing w:val="-1"/>
          <w:sz w:val="16"/>
        </w:rPr>
        <w:t> </w:t>
      </w:r>
      <w:r>
        <w:rPr>
          <w:sz w:val="16"/>
        </w:rPr>
        <w:t>and</w:t>
      </w:r>
      <w:r>
        <w:rPr>
          <w:spacing w:val="-1"/>
          <w:sz w:val="16"/>
        </w:rPr>
        <w:t> </w:t>
      </w:r>
      <w:r>
        <w:rPr>
          <w:sz w:val="16"/>
        </w:rPr>
        <w:t>J.</w:t>
      </w:r>
      <w:r>
        <w:rPr>
          <w:spacing w:val="-1"/>
          <w:sz w:val="16"/>
        </w:rPr>
        <w:t> </w:t>
      </w:r>
      <w:r>
        <w:rPr>
          <w:sz w:val="16"/>
        </w:rPr>
        <w:t>Ba,</w:t>
      </w:r>
      <w:r>
        <w:rPr>
          <w:spacing w:val="-1"/>
          <w:sz w:val="16"/>
        </w:rPr>
        <w:t> </w:t>
      </w:r>
      <w:r>
        <w:rPr>
          <w:sz w:val="16"/>
        </w:rPr>
        <w:t>“Adam:</w:t>
      </w:r>
      <w:r>
        <w:rPr>
          <w:spacing w:val="-1"/>
          <w:sz w:val="16"/>
        </w:rPr>
        <w:t> </w:t>
      </w:r>
      <w:r>
        <w:rPr>
          <w:sz w:val="16"/>
        </w:rPr>
        <w:t>A</w:t>
      </w:r>
      <w:r>
        <w:rPr>
          <w:spacing w:val="-1"/>
          <w:sz w:val="16"/>
        </w:rPr>
        <w:t> </w:t>
      </w:r>
      <w:r>
        <w:rPr>
          <w:sz w:val="16"/>
        </w:rPr>
        <w:t>method</w:t>
      </w:r>
      <w:r>
        <w:rPr>
          <w:spacing w:val="-1"/>
          <w:sz w:val="16"/>
        </w:rPr>
        <w:t> </w:t>
      </w:r>
      <w:r>
        <w:rPr>
          <w:sz w:val="16"/>
        </w:rPr>
        <w:t>for</w:t>
      </w:r>
      <w:r>
        <w:rPr>
          <w:spacing w:val="-1"/>
          <w:sz w:val="16"/>
        </w:rPr>
        <w:t> </w:t>
      </w:r>
      <w:r>
        <w:rPr>
          <w:sz w:val="16"/>
        </w:rPr>
        <w:t>stochastic</w:t>
      </w:r>
      <w:r>
        <w:rPr>
          <w:spacing w:val="-1"/>
          <w:sz w:val="16"/>
        </w:rPr>
        <w:t> </w:t>
      </w:r>
      <w:r>
        <w:rPr>
          <w:sz w:val="16"/>
        </w:rPr>
        <w:t>optimization,”</w:t>
      </w:r>
      <w:r>
        <w:rPr>
          <w:spacing w:val="40"/>
          <w:sz w:val="16"/>
        </w:rPr>
        <w:t> </w:t>
      </w:r>
      <w:r>
        <w:rPr>
          <w:sz w:val="16"/>
        </w:rPr>
        <w:t>in </w:t>
      </w:r>
      <w:r>
        <w:rPr>
          <w:i/>
          <w:sz w:val="16"/>
        </w:rPr>
        <w:t>Proc. Int. Conf. Learn. Representations (ICLR)</w:t>
      </w:r>
      <w:r>
        <w:rPr>
          <w:sz w:val="16"/>
        </w:rPr>
        <w:t>, 2015.</w:t>
      </w:r>
    </w:p>
    <w:p>
      <w:pPr>
        <w:pStyle w:val="ListParagraph"/>
        <w:numPr>
          <w:ilvl w:val="0"/>
          <w:numId w:val="10"/>
        </w:numPr>
        <w:tabs>
          <w:tab w:pos="562" w:val="left" w:leader="none"/>
          <w:tab w:pos="564" w:val="left" w:leader="none"/>
        </w:tabs>
        <w:spacing w:line="232" w:lineRule="auto" w:before="2" w:after="0"/>
        <w:ind w:left="564" w:right="257" w:hanging="366"/>
        <w:jc w:val="both"/>
        <w:rPr>
          <w:sz w:val="16"/>
        </w:rPr>
      </w:pPr>
      <w:r>
        <w:rPr>
          <w:sz w:val="16"/>
        </w:rPr>
        <w:t>S. Priyadarsini, “AI-driven audit framework for distributed multi-agent</w:t>
      </w:r>
      <w:r>
        <w:rPr>
          <w:spacing w:val="40"/>
          <w:sz w:val="16"/>
        </w:rPr>
        <w:t> </w:t>
      </w:r>
      <w:r>
        <w:rPr>
          <w:sz w:val="16"/>
        </w:rPr>
        <w:t>smart grids,” </w:t>
      </w:r>
      <w:r>
        <w:rPr>
          <w:i/>
          <w:sz w:val="16"/>
        </w:rPr>
        <w:t>ACM Trans. Cyber-Phys. Syst.</w:t>
      </w:r>
      <w:r>
        <w:rPr>
          <w:sz w:val="16"/>
        </w:rPr>
        <w:t>, 2025.</w:t>
      </w:r>
    </w:p>
    <w:p>
      <w:pPr>
        <w:pStyle w:val="ListParagraph"/>
        <w:spacing w:after="0" w:line="232" w:lineRule="auto"/>
        <w:jc w:val="both"/>
        <w:rPr>
          <w:sz w:val="16"/>
        </w:rPr>
        <w:sectPr>
          <w:pgSz w:w="12240" w:h="15840"/>
          <w:pgMar w:top="92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before="165"/>
        <w:ind w:left="2211"/>
      </w:pPr>
      <w:r>
        <w:rPr>
          <w:smallCaps/>
          <w:spacing w:val="-2"/>
        </w:rPr>
        <w:t>References</w:t>
      </w:r>
    </w:p>
    <w:p>
      <w:pPr>
        <w:pStyle w:val="ListParagraph"/>
        <w:numPr>
          <w:ilvl w:val="0"/>
          <w:numId w:val="11"/>
        </w:numPr>
        <w:tabs>
          <w:tab w:pos="622" w:val="left" w:leader="none"/>
          <w:tab w:pos="624" w:val="left" w:leader="none"/>
        </w:tabs>
        <w:spacing w:line="232" w:lineRule="auto" w:before="130" w:after="0"/>
        <w:ind w:left="624" w:right="5517" w:hanging="286"/>
        <w:jc w:val="both"/>
        <w:rPr>
          <w:sz w:val="16"/>
        </w:rPr>
      </w:pPr>
      <w:r>
        <w:rPr>
          <w:sz w:val="16"/>
        </w:rPr>
        <w:t>A. M. Farid, “A cyber-physical systems approach to smart grid </w:t>
      </w:r>
      <w:r>
        <w:rPr>
          <w:sz w:val="16"/>
        </w:rPr>
        <w:t>design,”</w:t>
      </w:r>
      <w:r>
        <w:rPr>
          <w:spacing w:val="40"/>
          <w:sz w:val="16"/>
        </w:rPr>
        <w:t> </w:t>
      </w:r>
      <w:r>
        <w:rPr>
          <w:i/>
          <w:sz w:val="16"/>
        </w:rPr>
        <w:t>IEEE Trans. Smart Grid</w:t>
      </w:r>
      <w:r>
        <w:rPr>
          <w:sz w:val="16"/>
        </w:rPr>
        <w:t>, vol. 6, no. 1, pp. 1–9, 2015.</w:t>
      </w:r>
    </w:p>
    <w:p>
      <w:pPr>
        <w:pStyle w:val="ListParagraph"/>
        <w:numPr>
          <w:ilvl w:val="0"/>
          <w:numId w:val="11"/>
        </w:numPr>
        <w:tabs>
          <w:tab w:pos="622" w:val="left" w:leader="none"/>
          <w:tab w:pos="624" w:val="left" w:leader="none"/>
        </w:tabs>
        <w:spacing w:line="232" w:lineRule="auto" w:before="4" w:after="0"/>
        <w:ind w:left="624" w:right="5517" w:hanging="286"/>
        <w:jc w:val="both"/>
        <w:rPr>
          <w:sz w:val="16"/>
        </w:rPr>
      </w:pPr>
      <w:r>
        <w:rPr>
          <w:sz w:val="16"/>
        </w:rPr>
        <w:t>Y. Liu, P. Ning, and M. K. Reiter, “False data injection attacks against</w:t>
      </w:r>
      <w:r>
        <w:rPr>
          <w:spacing w:val="40"/>
          <w:sz w:val="16"/>
        </w:rPr>
        <w:t> </w:t>
      </w:r>
      <w:r>
        <w:rPr>
          <w:sz w:val="16"/>
        </w:rPr>
        <w:t>state estimation in electric power grids,” </w:t>
      </w:r>
      <w:r>
        <w:rPr>
          <w:i/>
          <w:sz w:val="16"/>
        </w:rPr>
        <w:t>ACM Trans. Inf. Syst. Secur.</w:t>
      </w:r>
      <w:r>
        <w:rPr>
          <w:sz w:val="16"/>
        </w:rPr>
        <w:t>,</w:t>
      </w:r>
      <w:r>
        <w:rPr>
          <w:spacing w:val="40"/>
          <w:sz w:val="16"/>
        </w:rPr>
        <w:t> </w:t>
      </w:r>
      <w:r>
        <w:rPr>
          <w:sz w:val="16"/>
        </w:rPr>
        <w:t>vol. 14, no. 1, pp. 1–33, 2011.</w:t>
      </w:r>
    </w:p>
    <w:p>
      <w:pPr>
        <w:pStyle w:val="ListParagraph"/>
        <w:numPr>
          <w:ilvl w:val="0"/>
          <w:numId w:val="11"/>
        </w:numPr>
        <w:tabs>
          <w:tab w:pos="622" w:val="left" w:leader="none"/>
          <w:tab w:pos="624" w:val="left" w:leader="none"/>
        </w:tabs>
        <w:spacing w:line="232" w:lineRule="auto" w:before="4" w:after="0"/>
        <w:ind w:left="624" w:right="5517" w:hanging="286"/>
        <w:jc w:val="both"/>
        <w:rPr>
          <w:sz w:val="16"/>
        </w:rPr>
      </w:pPr>
      <w:r>
        <w:rPr>
          <w:sz w:val="16"/>
        </w:rPr>
        <w:t>G. Liang, J. Zhao, F. Luo, S. R. Weller, and Z. Y. Dong, “A review of</w:t>
      </w:r>
      <w:r>
        <w:rPr>
          <w:spacing w:val="40"/>
          <w:sz w:val="16"/>
        </w:rPr>
        <w:t> </w:t>
      </w:r>
      <w:r>
        <w:rPr>
          <w:sz w:val="16"/>
        </w:rPr>
        <w:t>false</w:t>
      </w:r>
      <w:r>
        <w:rPr>
          <w:spacing w:val="-4"/>
          <w:sz w:val="16"/>
        </w:rPr>
        <w:t> </w:t>
      </w:r>
      <w:r>
        <w:rPr>
          <w:sz w:val="16"/>
        </w:rPr>
        <w:t>data</w:t>
      </w:r>
      <w:r>
        <w:rPr>
          <w:spacing w:val="-4"/>
          <w:sz w:val="16"/>
        </w:rPr>
        <w:t> </w:t>
      </w:r>
      <w:r>
        <w:rPr>
          <w:sz w:val="16"/>
        </w:rPr>
        <w:t>injection</w:t>
      </w:r>
      <w:r>
        <w:rPr>
          <w:spacing w:val="-4"/>
          <w:sz w:val="16"/>
        </w:rPr>
        <w:t> </w:t>
      </w:r>
      <w:r>
        <w:rPr>
          <w:sz w:val="16"/>
        </w:rPr>
        <w:t>attacks</w:t>
      </w:r>
      <w:r>
        <w:rPr>
          <w:spacing w:val="-4"/>
          <w:sz w:val="16"/>
        </w:rPr>
        <w:t> </w:t>
      </w:r>
      <w:r>
        <w:rPr>
          <w:sz w:val="16"/>
        </w:rPr>
        <w:t>against</w:t>
      </w:r>
      <w:r>
        <w:rPr>
          <w:spacing w:val="-4"/>
          <w:sz w:val="16"/>
        </w:rPr>
        <w:t> </w:t>
      </w:r>
      <w:r>
        <w:rPr>
          <w:sz w:val="16"/>
        </w:rPr>
        <w:t>modern</w:t>
      </w:r>
      <w:r>
        <w:rPr>
          <w:spacing w:val="-4"/>
          <w:sz w:val="16"/>
        </w:rPr>
        <w:t> </w:t>
      </w:r>
      <w:r>
        <w:rPr>
          <w:sz w:val="16"/>
        </w:rPr>
        <w:t>power</w:t>
      </w:r>
      <w:r>
        <w:rPr>
          <w:spacing w:val="-4"/>
          <w:sz w:val="16"/>
        </w:rPr>
        <w:t> </w:t>
      </w:r>
      <w:r>
        <w:rPr>
          <w:sz w:val="16"/>
        </w:rPr>
        <w:t>systems,”</w:t>
      </w:r>
      <w:r>
        <w:rPr>
          <w:spacing w:val="-4"/>
          <w:sz w:val="16"/>
        </w:rPr>
        <w:t> </w:t>
      </w:r>
      <w:r>
        <w:rPr>
          <w:i/>
          <w:sz w:val="16"/>
        </w:rPr>
        <w:t>IEEE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Trans.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Smart Grid</w:t>
      </w:r>
      <w:r>
        <w:rPr>
          <w:sz w:val="16"/>
        </w:rPr>
        <w:t>, vol. 8, no. 4, pp. 1630–1638, 2017.</w:t>
      </w:r>
    </w:p>
    <w:p>
      <w:pPr>
        <w:pStyle w:val="ListParagraph"/>
        <w:numPr>
          <w:ilvl w:val="0"/>
          <w:numId w:val="11"/>
        </w:numPr>
        <w:tabs>
          <w:tab w:pos="622" w:val="left" w:leader="none"/>
        </w:tabs>
        <w:spacing w:line="182" w:lineRule="exact" w:before="1" w:after="0"/>
        <w:ind w:left="622" w:right="0" w:hanging="284"/>
        <w:jc w:val="both"/>
        <w:rPr>
          <w:sz w:val="16"/>
        </w:rPr>
      </w:pPr>
      <w:r>
        <w:rPr>
          <w:sz w:val="16"/>
        </w:rPr>
        <w:t>A.</w:t>
      </w:r>
      <w:r>
        <w:rPr>
          <w:spacing w:val="43"/>
          <w:sz w:val="16"/>
        </w:rPr>
        <w:t> </w:t>
      </w:r>
      <w:r>
        <w:rPr>
          <w:sz w:val="16"/>
        </w:rPr>
        <w:t>Giani,</w:t>
      </w:r>
      <w:r>
        <w:rPr>
          <w:spacing w:val="44"/>
          <w:sz w:val="16"/>
        </w:rPr>
        <w:t> </w:t>
      </w:r>
      <w:r>
        <w:rPr>
          <w:sz w:val="16"/>
        </w:rPr>
        <w:t>E.</w:t>
      </w:r>
      <w:r>
        <w:rPr>
          <w:spacing w:val="44"/>
          <w:sz w:val="16"/>
        </w:rPr>
        <w:t> </w:t>
      </w:r>
      <w:r>
        <w:rPr>
          <w:sz w:val="16"/>
        </w:rPr>
        <w:t>Bitar,</w:t>
      </w:r>
      <w:r>
        <w:rPr>
          <w:spacing w:val="44"/>
          <w:sz w:val="16"/>
        </w:rPr>
        <w:t> </w:t>
      </w:r>
      <w:r>
        <w:rPr>
          <w:sz w:val="16"/>
        </w:rPr>
        <w:t>M.</w:t>
      </w:r>
      <w:r>
        <w:rPr>
          <w:spacing w:val="44"/>
          <w:sz w:val="16"/>
        </w:rPr>
        <w:t> </w:t>
      </w:r>
      <w:r>
        <w:rPr>
          <w:sz w:val="16"/>
        </w:rPr>
        <w:t>Garcia,</w:t>
      </w:r>
      <w:r>
        <w:rPr>
          <w:spacing w:val="44"/>
          <w:sz w:val="16"/>
        </w:rPr>
        <w:t> </w:t>
      </w:r>
      <w:r>
        <w:rPr>
          <w:sz w:val="16"/>
        </w:rPr>
        <w:t>M.</w:t>
      </w:r>
      <w:r>
        <w:rPr>
          <w:spacing w:val="44"/>
          <w:sz w:val="16"/>
        </w:rPr>
        <w:t> </w:t>
      </w:r>
      <w:r>
        <w:rPr>
          <w:sz w:val="16"/>
        </w:rPr>
        <w:t>McQueen,</w:t>
      </w:r>
      <w:r>
        <w:rPr>
          <w:spacing w:val="44"/>
          <w:sz w:val="16"/>
        </w:rPr>
        <w:t> </w:t>
      </w:r>
      <w:r>
        <w:rPr>
          <w:sz w:val="16"/>
        </w:rPr>
        <w:t>P.</w:t>
      </w:r>
      <w:r>
        <w:rPr>
          <w:spacing w:val="44"/>
          <w:sz w:val="16"/>
        </w:rPr>
        <w:t> </w:t>
      </w:r>
      <w:r>
        <w:rPr>
          <w:sz w:val="16"/>
        </w:rPr>
        <w:t>Khargonekar,</w:t>
      </w:r>
      <w:r>
        <w:rPr>
          <w:spacing w:val="44"/>
          <w:sz w:val="16"/>
        </w:rPr>
        <w:t> </w:t>
      </w:r>
      <w:r>
        <w:rPr>
          <w:spacing w:val="-5"/>
          <w:sz w:val="16"/>
        </w:rPr>
        <w:t>and</w:t>
      </w:r>
    </w:p>
    <w:p>
      <w:pPr>
        <w:spacing w:line="232" w:lineRule="auto" w:before="2"/>
        <w:ind w:left="624" w:right="5517" w:firstLine="0"/>
        <w:jc w:val="both"/>
        <w:rPr>
          <w:sz w:val="16"/>
        </w:rPr>
      </w:pPr>
      <w:r>
        <w:rPr>
          <w:sz w:val="16"/>
        </w:rPr>
        <w:t>K. Poolla, “Smart grid data integrity attacks: Characterizations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countermeasures,” </w:t>
      </w:r>
      <w:r>
        <w:rPr>
          <w:i/>
          <w:sz w:val="16"/>
        </w:rPr>
        <w:t>IEEE Trans. Smart Grid</w:t>
      </w:r>
      <w:r>
        <w:rPr>
          <w:sz w:val="16"/>
        </w:rPr>
        <w:t>, vol. 4, no. 3, pp. </w:t>
      </w:r>
      <w:r>
        <w:rPr>
          <w:sz w:val="16"/>
        </w:rPr>
        <w:t>1244–</w:t>
      </w:r>
      <w:r>
        <w:rPr>
          <w:sz w:val="16"/>
        </w:rPr>
        <w:t>1253, 2013.</w:t>
      </w:r>
    </w:p>
    <w:p>
      <w:pPr>
        <w:pStyle w:val="ListParagraph"/>
        <w:numPr>
          <w:ilvl w:val="0"/>
          <w:numId w:val="11"/>
        </w:numPr>
        <w:tabs>
          <w:tab w:pos="622" w:val="left" w:leader="none"/>
          <w:tab w:pos="624" w:val="left" w:leader="none"/>
        </w:tabs>
        <w:spacing w:line="232" w:lineRule="auto" w:before="4" w:after="0"/>
        <w:ind w:left="624" w:right="5517" w:hanging="286"/>
        <w:jc w:val="both"/>
        <w:rPr>
          <w:sz w:val="16"/>
        </w:rPr>
      </w:pPr>
      <w:r>
        <w:rPr>
          <w:sz w:val="16"/>
        </w:rPr>
        <w:t>J. Yan, Y. Tang, H. He, and Y. Sun, “A survey on false data injection</w:t>
      </w:r>
      <w:r>
        <w:rPr>
          <w:spacing w:val="40"/>
          <w:sz w:val="16"/>
        </w:rPr>
        <w:t> </w:t>
      </w:r>
      <w:r>
        <w:rPr>
          <w:sz w:val="16"/>
        </w:rPr>
        <w:t>attacks towards smart grid,” </w:t>
      </w:r>
      <w:r>
        <w:rPr>
          <w:i/>
          <w:sz w:val="16"/>
        </w:rPr>
        <w:t>IEEE Trans. Ind. Informat.</w:t>
      </w:r>
      <w:r>
        <w:rPr>
          <w:sz w:val="16"/>
        </w:rPr>
        <w:t>, vol. 16, no. </w:t>
      </w:r>
      <w:r>
        <w:rPr>
          <w:sz w:val="16"/>
        </w:rPr>
        <w:t>10,</w:t>
      </w:r>
    </w:p>
    <w:p>
      <w:pPr>
        <w:spacing w:line="180" w:lineRule="exact" w:before="0"/>
        <w:ind w:left="624" w:right="0" w:firstLine="0"/>
        <w:jc w:val="both"/>
        <w:rPr>
          <w:sz w:val="16"/>
        </w:rPr>
      </w:pPr>
      <w:r>
        <w:rPr>
          <w:sz w:val="16"/>
        </w:rPr>
        <w:t>pp.</w:t>
      </w:r>
      <w:r>
        <w:rPr>
          <w:spacing w:val="10"/>
          <w:sz w:val="16"/>
        </w:rPr>
        <w:t> </w:t>
      </w:r>
      <w:r>
        <w:rPr>
          <w:sz w:val="16"/>
        </w:rPr>
        <w:t>6280–6290,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2020.</w:t>
      </w:r>
    </w:p>
    <w:p>
      <w:pPr>
        <w:pStyle w:val="ListParagraph"/>
        <w:numPr>
          <w:ilvl w:val="0"/>
          <w:numId w:val="11"/>
        </w:numPr>
        <w:tabs>
          <w:tab w:pos="622" w:val="left" w:leader="none"/>
          <w:tab w:pos="624" w:val="left" w:leader="none"/>
        </w:tabs>
        <w:spacing w:line="232" w:lineRule="auto" w:before="4" w:after="0"/>
        <w:ind w:left="624" w:right="5517" w:hanging="286"/>
        <w:jc w:val="both"/>
        <w:rPr>
          <w:sz w:val="16"/>
        </w:rPr>
      </w:pPr>
      <w:r>
        <w:rPr>
          <w:sz w:val="16"/>
        </w:rPr>
        <w:t>A. A. Korba, M. Fakir, and M. Talea, “Anomaly-based cyberattack</w:t>
      </w:r>
      <w:r>
        <w:rPr>
          <w:spacing w:val="40"/>
          <w:sz w:val="16"/>
        </w:rPr>
        <w:t> </w:t>
      </w:r>
      <w:r>
        <w:rPr>
          <w:sz w:val="16"/>
        </w:rPr>
        <w:t>detection in advanced metering infrastructure,” </w:t>
      </w:r>
      <w:r>
        <w:rPr>
          <w:i/>
          <w:sz w:val="16"/>
        </w:rPr>
        <w:t>IEEE Syst. J.</w:t>
      </w:r>
      <w:r>
        <w:rPr>
          <w:sz w:val="16"/>
        </w:rPr>
        <w:t>, vol. </w:t>
      </w:r>
      <w:r>
        <w:rPr>
          <w:sz w:val="16"/>
        </w:rPr>
        <w:t>12,</w:t>
      </w:r>
      <w:r>
        <w:rPr>
          <w:spacing w:val="40"/>
          <w:sz w:val="16"/>
        </w:rPr>
        <w:t> </w:t>
      </w:r>
      <w:r>
        <w:rPr>
          <w:sz w:val="16"/>
        </w:rPr>
        <w:t>no. 4, pp. 3312–3322, 2018.</w:t>
      </w:r>
    </w:p>
    <w:p>
      <w:pPr>
        <w:pStyle w:val="ListParagraph"/>
        <w:numPr>
          <w:ilvl w:val="0"/>
          <w:numId w:val="11"/>
        </w:numPr>
        <w:tabs>
          <w:tab w:pos="622" w:val="left" w:leader="none"/>
          <w:tab w:pos="624" w:val="left" w:leader="none"/>
        </w:tabs>
        <w:spacing w:line="232" w:lineRule="auto" w:before="4" w:after="0"/>
        <w:ind w:left="624" w:right="5517" w:hanging="286"/>
        <w:jc w:val="both"/>
        <w:rPr>
          <w:sz w:val="16"/>
        </w:rPr>
      </w:pPr>
      <w:r>
        <w:rPr>
          <w:sz w:val="16"/>
        </w:rPr>
        <w:t>M. Ibrahim and A. Elhafiz, “Reinforcement learning for cyber-</w:t>
      </w:r>
      <w:r>
        <w:rPr>
          <w:sz w:val="16"/>
        </w:rPr>
        <w:t>physical</w:t>
      </w:r>
      <w:r>
        <w:rPr>
          <w:spacing w:val="40"/>
          <w:sz w:val="16"/>
        </w:rPr>
        <w:t> </w:t>
      </w:r>
      <w:r>
        <w:rPr>
          <w:sz w:val="16"/>
        </w:rPr>
        <w:t>security analysis of electric grids,” </w:t>
      </w:r>
      <w:r>
        <w:rPr>
          <w:i/>
          <w:sz w:val="16"/>
        </w:rPr>
        <w:t>IEEE Access</w:t>
      </w:r>
      <w:r>
        <w:rPr>
          <w:sz w:val="16"/>
        </w:rPr>
        <w:t>, vol. 10, pp. 35692–35706, 2022.</w:t>
      </w:r>
    </w:p>
    <w:p>
      <w:pPr>
        <w:pStyle w:val="ListParagraph"/>
        <w:numPr>
          <w:ilvl w:val="0"/>
          <w:numId w:val="11"/>
        </w:numPr>
        <w:tabs>
          <w:tab w:pos="622" w:val="left" w:leader="none"/>
          <w:tab w:pos="624" w:val="left" w:leader="none"/>
        </w:tabs>
        <w:spacing w:line="232" w:lineRule="auto" w:before="5" w:after="0"/>
        <w:ind w:left="624" w:right="5517" w:hanging="286"/>
        <w:jc w:val="both"/>
        <w:rPr>
          <w:sz w:val="16"/>
        </w:rPr>
      </w:pPr>
      <w:r>
        <w:rPr>
          <w:sz w:val="16"/>
        </w:rPr>
        <w:t>F. T. Liu, K. M. Ting, and Z.-H. Zhou, “Isolation forest,” in </w:t>
      </w:r>
      <w:r>
        <w:rPr>
          <w:i/>
          <w:sz w:val="16"/>
        </w:rPr>
        <w:t>Proc. </w:t>
      </w:r>
      <w:r>
        <w:rPr>
          <w:i/>
          <w:sz w:val="16"/>
        </w:rPr>
        <w:t>IEEE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Int. Conf. Data Mining (ICDM)</w:t>
      </w:r>
      <w:r>
        <w:rPr>
          <w:sz w:val="16"/>
        </w:rPr>
        <w:t>, 2008, pp. 413–422.</w:t>
      </w:r>
    </w:p>
    <w:p>
      <w:pPr>
        <w:pStyle w:val="ListParagraph"/>
        <w:numPr>
          <w:ilvl w:val="0"/>
          <w:numId w:val="11"/>
        </w:numPr>
        <w:tabs>
          <w:tab w:pos="622" w:val="left" w:leader="none"/>
          <w:tab w:pos="624" w:val="left" w:leader="none"/>
        </w:tabs>
        <w:spacing w:line="232" w:lineRule="auto" w:before="4" w:after="0"/>
        <w:ind w:left="624" w:right="5517" w:hanging="286"/>
        <w:jc w:val="both"/>
        <w:rPr>
          <w:sz w:val="16"/>
        </w:rPr>
      </w:pPr>
      <w:r>
        <w:rPr>
          <w:sz w:val="16"/>
        </w:rPr>
        <w:t>B. Scho¨lkopf, J. C. Platt, J. Shawe-Taylor, A. J. Smola, and R. C.</w:t>
      </w:r>
      <w:r>
        <w:rPr>
          <w:spacing w:val="40"/>
          <w:sz w:val="16"/>
        </w:rPr>
        <w:t> </w:t>
      </w:r>
      <w:r>
        <w:rPr>
          <w:sz w:val="16"/>
        </w:rPr>
        <w:t>Williamson,</w:t>
      </w:r>
      <w:r>
        <w:rPr>
          <w:spacing w:val="-9"/>
          <w:sz w:val="16"/>
        </w:rPr>
        <w:t> </w:t>
      </w:r>
      <w:r>
        <w:rPr>
          <w:sz w:val="16"/>
        </w:rPr>
        <w:t>“Estimating</w:t>
      </w:r>
      <w:r>
        <w:rPr>
          <w:spacing w:val="-9"/>
          <w:sz w:val="16"/>
        </w:rPr>
        <w:t> </w:t>
      </w:r>
      <w:r>
        <w:rPr>
          <w:sz w:val="16"/>
        </w:rPr>
        <w:t>the</w:t>
      </w:r>
      <w:r>
        <w:rPr>
          <w:spacing w:val="-9"/>
          <w:sz w:val="16"/>
        </w:rPr>
        <w:t> </w:t>
      </w:r>
      <w:r>
        <w:rPr>
          <w:sz w:val="16"/>
        </w:rPr>
        <w:t>support</w:t>
      </w:r>
      <w:r>
        <w:rPr>
          <w:spacing w:val="-9"/>
          <w:sz w:val="16"/>
        </w:rPr>
        <w:t> </w:t>
      </w:r>
      <w:r>
        <w:rPr>
          <w:sz w:val="16"/>
        </w:rPr>
        <w:t>of</w:t>
      </w:r>
      <w:r>
        <w:rPr>
          <w:spacing w:val="-9"/>
          <w:sz w:val="16"/>
        </w:rPr>
        <w:t> </w:t>
      </w:r>
      <w:r>
        <w:rPr>
          <w:sz w:val="16"/>
        </w:rPr>
        <w:t>a</w:t>
      </w:r>
      <w:r>
        <w:rPr>
          <w:spacing w:val="-9"/>
          <w:sz w:val="16"/>
        </w:rPr>
        <w:t> </w:t>
      </w:r>
      <w:r>
        <w:rPr>
          <w:sz w:val="16"/>
        </w:rPr>
        <w:t>high-dimensional</w:t>
      </w:r>
      <w:r>
        <w:rPr>
          <w:spacing w:val="-9"/>
          <w:sz w:val="16"/>
        </w:rPr>
        <w:t> </w:t>
      </w:r>
      <w:r>
        <w:rPr>
          <w:sz w:val="16"/>
        </w:rPr>
        <w:t>distribution,”</w:t>
      </w:r>
      <w:r>
        <w:rPr>
          <w:spacing w:val="40"/>
          <w:sz w:val="16"/>
        </w:rPr>
        <w:t> </w:t>
      </w:r>
      <w:r>
        <w:rPr>
          <w:i/>
          <w:sz w:val="16"/>
        </w:rPr>
        <w:t>Neural Comput.</w:t>
      </w:r>
      <w:r>
        <w:rPr>
          <w:sz w:val="16"/>
        </w:rPr>
        <w:t>, vol. 13, no. 7, pp. 1443–1471, 2001.</w:t>
      </w:r>
    </w:p>
    <w:p>
      <w:pPr>
        <w:pStyle w:val="ListParagraph"/>
        <w:numPr>
          <w:ilvl w:val="0"/>
          <w:numId w:val="11"/>
        </w:numPr>
        <w:tabs>
          <w:tab w:pos="622" w:val="left" w:leader="none"/>
          <w:tab w:pos="624" w:val="left" w:leader="none"/>
        </w:tabs>
        <w:spacing w:line="232" w:lineRule="auto" w:before="4" w:after="0"/>
        <w:ind w:left="624" w:right="5517" w:hanging="366"/>
        <w:jc w:val="both"/>
        <w:rPr>
          <w:sz w:val="16"/>
        </w:rPr>
      </w:pPr>
      <w:r>
        <w:rPr>
          <w:sz w:val="16"/>
        </w:rPr>
        <w:t>C.</w:t>
      </w:r>
      <w:r>
        <w:rPr>
          <w:spacing w:val="-2"/>
          <w:sz w:val="16"/>
        </w:rPr>
        <w:t> </w:t>
      </w:r>
      <w:r>
        <w:rPr>
          <w:sz w:val="16"/>
        </w:rPr>
        <w:t>Burgos-Mellado,</w:t>
      </w:r>
      <w:r>
        <w:rPr>
          <w:spacing w:val="-2"/>
          <w:sz w:val="16"/>
        </w:rPr>
        <w:t> </w:t>
      </w:r>
      <w:r>
        <w:rPr>
          <w:sz w:val="16"/>
        </w:rPr>
        <w:t>D.</w:t>
      </w:r>
      <w:r>
        <w:rPr>
          <w:spacing w:val="-2"/>
          <w:sz w:val="16"/>
        </w:rPr>
        <w:t> </w:t>
      </w:r>
      <w:r>
        <w:rPr>
          <w:sz w:val="16"/>
        </w:rPr>
        <w:t>Sa´ez,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R.</w:t>
      </w:r>
      <w:r>
        <w:rPr>
          <w:spacing w:val="-2"/>
          <w:sz w:val="16"/>
        </w:rPr>
        <w:t> </w:t>
      </w:r>
      <w:r>
        <w:rPr>
          <w:sz w:val="16"/>
        </w:rPr>
        <w:t>Ca´rdenas,</w:t>
      </w:r>
      <w:r>
        <w:rPr>
          <w:spacing w:val="-2"/>
          <w:sz w:val="16"/>
        </w:rPr>
        <w:t> </w:t>
      </w:r>
      <w:r>
        <w:rPr>
          <w:sz w:val="16"/>
        </w:rPr>
        <w:t>“Artificial</w:t>
      </w:r>
      <w:r>
        <w:rPr>
          <w:spacing w:val="-2"/>
          <w:sz w:val="16"/>
        </w:rPr>
        <w:t> </w:t>
      </w:r>
      <w:r>
        <w:rPr>
          <w:sz w:val="16"/>
        </w:rPr>
        <w:t>intelligence-based anomaly detection in smart grids: A review,” </w:t>
      </w:r>
      <w:r>
        <w:rPr>
          <w:i/>
          <w:sz w:val="16"/>
        </w:rPr>
        <w:t>Energies</w:t>
      </w:r>
      <w:r>
        <w:rPr>
          <w:sz w:val="16"/>
        </w:rPr>
        <w:t>, vol. 14,</w:t>
      </w:r>
      <w:r>
        <w:rPr>
          <w:spacing w:val="40"/>
          <w:sz w:val="16"/>
        </w:rPr>
        <w:t> </w:t>
      </w:r>
      <w:r>
        <w:rPr>
          <w:sz w:val="16"/>
        </w:rPr>
        <w:t>no. 20, pp. 1–25, 2021.</w:t>
      </w:r>
    </w:p>
    <w:p>
      <w:pPr>
        <w:pStyle w:val="ListParagraph"/>
        <w:numPr>
          <w:ilvl w:val="0"/>
          <w:numId w:val="11"/>
        </w:numPr>
        <w:tabs>
          <w:tab w:pos="623" w:val="left" w:leader="none"/>
        </w:tabs>
        <w:spacing w:line="182" w:lineRule="exact" w:before="1" w:after="0"/>
        <w:ind w:left="623" w:right="0" w:hanging="364"/>
        <w:jc w:val="both"/>
        <w:rPr>
          <w:sz w:val="16"/>
        </w:rPr>
      </w:pPr>
      <w:r>
        <w:rPr>
          <w:sz w:val="16"/>
        </w:rPr>
        <w:t>Y.</w:t>
      </w:r>
      <w:r>
        <w:rPr>
          <w:spacing w:val="-3"/>
          <w:sz w:val="16"/>
        </w:rPr>
        <w:t> </w:t>
      </w:r>
      <w:r>
        <w:rPr>
          <w:sz w:val="16"/>
        </w:rPr>
        <w:t>LeCun,</w:t>
      </w:r>
      <w:r>
        <w:rPr>
          <w:spacing w:val="-2"/>
          <w:sz w:val="16"/>
        </w:rPr>
        <w:t> </w:t>
      </w:r>
      <w:r>
        <w:rPr>
          <w:sz w:val="16"/>
        </w:rPr>
        <w:t>Y.</w:t>
      </w:r>
      <w:r>
        <w:rPr>
          <w:spacing w:val="-3"/>
          <w:sz w:val="16"/>
        </w:rPr>
        <w:t> </w:t>
      </w:r>
      <w:r>
        <w:rPr>
          <w:sz w:val="16"/>
        </w:rPr>
        <w:t>Bengio,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G.</w:t>
      </w:r>
      <w:r>
        <w:rPr>
          <w:spacing w:val="-3"/>
          <w:sz w:val="16"/>
        </w:rPr>
        <w:t> </w:t>
      </w:r>
      <w:r>
        <w:rPr>
          <w:sz w:val="16"/>
        </w:rPr>
        <w:t>Hinton,</w:t>
      </w:r>
      <w:r>
        <w:rPr>
          <w:spacing w:val="-2"/>
          <w:sz w:val="16"/>
        </w:rPr>
        <w:t> </w:t>
      </w:r>
      <w:r>
        <w:rPr>
          <w:sz w:val="16"/>
        </w:rPr>
        <w:t>“Deep</w:t>
      </w:r>
      <w:r>
        <w:rPr>
          <w:spacing w:val="-3"/>
          <w:sz w:val="16"/>
        </w:rPr>
        <w:t> </w:t>
      </w:r>
      <w:r>
        <w:rPr>
          <w:sz w:val="16"/>
        </w:rPr>
        <w:t>learning,”</w:t>
      </w:r>
      <w:r>
        <w:rPr>
          <w:spacing w:val="-2"/>
          <w:sz w:val="16"/>
        </w:rPr>
        <w:t> </w:t>
      </w:r>
      <w:r>
        <w:rPr>
          <w:i/>
          <w:sz w:val="16"/>
        </w:rPr>
        <w:t>Nature</w:t>
      </w:r>
      <w:r>
        <w:rPr>
          <w:sz w:val="16"/>
        </w:rPr>
        <w:t>,</w:t>
      </w:r>
      <w:r>
        <w:rPr>
          <w:spacing w:val="-2"/>
          <w:sz w:val="16"/>
        </w:rPr>
        <w:t> </w:t>
      </w:r>
      <w:r>
        <w:rPr>
          <w:sz w:val="16"/>
        </w:rPr>
        <w:t>vol.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521,</w:t>
      </w:r>
    </w:p>
    <w:p>
      <w:pPr>
        <w:spacing w:line="182" w:lineRule="exact" w:before="0"/>
        <w:ind w:left="624" w:right="0" w:firstLine="0"/>
        <w:jc w:val="both"/>
        <w:rPr>
          <w:sz w:val="16"/>
        </w:rPr>
      </w:pPr>
      <w:r>
        <w:rPr>
          <w:sz w:val="16"/>
        </w:rPr>
        <w:t>pp.</w:t>
      </w:r>
      <w:r>
        <w:rPr>
          <w:spacing w:val="11"/>
          <w:sz w:val="16"/>
        </w:rPr>
        <w:t> </w:t>
      </w:r>
      <w:r>
        <w:rPr>
          <w:sz w:val="16"/>
        </w:rPr>
        <w:t>436–444,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2015.</w:t>
      </w:r>
    </w:p>
    <w:sectPr>
      <w:type w:val="continuous"/>
      <w:pgSz w:w="12240" w:h="15840"/>
      <w:pgMar w:top="90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1"/>
      <w:numFmt w:val="decimal"/>
      <w:lvlText w:val="[%1]"/>
      <w:lvlJc w:val="left"/>
      <w:pPr>
        <w:ind w:left="624" w:hanging="28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6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4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2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8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6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4" w:hanging="286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2"/>
      <w:numFmt w:val="decimal"/>
      <w:lvlText w:val="[%1]"/>
      <w:lvlJc w:val="left"/>
      <w:pPr>
        <w:ind w:left="564" w:hanging="36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1" w:hanging="3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43" w:hanging="3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5" w:hanging="3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27" w:hanging="3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19" w:hanging="3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11" w:hanging="3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03" w:hanging="3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95" w:hanging="366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470" w:hanging="272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9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9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79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79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79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79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79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79" w:hanging="27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47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9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9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79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79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79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79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79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79" w:hanging="27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53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14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88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62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36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1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84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58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32" w:hanging="27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)"/>
      <w:lvlJc w:val="left"/>
      <w:pPr>
        <w:ind w:left="259" w:hanging="266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6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72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78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84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90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96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02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08" w:hanging="26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)"/>
      <w:lvlJc w:val="left"/>
      <w:pPr>
        <w:ind w:left="724" w:hanging="266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6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32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88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44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00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56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12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68" w:hanging="26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47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3"/>
      <w:numFmt w:val="decimal"/>
      <w:lvlText w:val="%2)"/>
      <w:lvlJc w:val="left"/>
      <w:pPr>
        <w:ind w:left="199" w:hanging="266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35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91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46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02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57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13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68" w:hanging="26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53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14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88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62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36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1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84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58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32" w:hanging="27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659" w:hanging="202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31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1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23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05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87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69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51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33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15" w:hanging="20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2228" w:hanging="23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6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2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8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44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50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56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62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68" w:hanging="236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6"/>
      <w:ind w:left="2040" w:hanging="1707"/>
    </w:pPr>
    <w:rPr>
      <w:rFonts w:ascii="Times New Roman" w:hAnsi="Times New Roman" w:eastAsia="Times New Roman" w:cs="Times New Roman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24" w:hanging="270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57" w:lineRule="exact"/>
      <w:ind w:left="15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ditya.jadhav@ce.vjti.ac.in" TargetMode="External"/><Relationship Id="rId6" Type="http://schemas.openxmlformats.org/officeDocument/2006/relationships/hyperlink" Target="mailto:sakhedkar@ce.vjti.ac.in" TargetMode="Externa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2026-05-13T18:30:20Z</dcterms:created>
  <dcterms:modified xsi:type="dcterms:W3CDTF">2026-05-13T18:30:20Z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2026-05-10T00:00:00Z</vt:filetime>
  </property>
  <property fmtid="{D5CDD505-2E9C-101B-9397-08002B2CF9AE}" pid="4" name="Creator">
    <vt:lpwstr>TeX</vt:lpwstr>
  </property>
  <property fmtid="{D5CDD505-2E9C-101B-9397-08002B2CF9AE}" pid="5" name="LastSaved">
    <vt:filetime>2026-05-13T00:00:00Z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