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NovaTech AI Engineering Guide</w:t>
      </w:r>
    </w:p>
    <w:p>
      <w:r>
        <w:t>Version 2.1 · Owner: AI Engineering Practice · Fictional training material</w:t>
      </w:r>
    </w:p>
    <w:p>
      <w:pPr>
        <w:pStyle w:val="Heading1"/>
      </w:pPr>
      <w:r>
        <w:t>Purpose and Team Structure</w:t>
      </w:r>
    </w:p>
    <w:p>
      <w:pPr>
        <w:spacing w:after="160"/>
      </w:pPr>
      <w:r>
        <w:t>NovaTech's AI Engineering Practice builds reliable machine-learning and generative-AI features for OrbitOps, InsightFlow, and customer projects. Each delivery team usually includes an AI engineer, data engineer, product owner, domain reviewer, and security champion.</w:t>
      </w:r>
    </w:p>
    <w:p>
      <w:pPr>
        <w:spacing w:after="160"/>
      </w:pPr>
      <w:r>
        <w:t>Teams use short, reviewable experiments. A prototype must have a written problem statement, success metric, data owner, and named reviewer before it can move into product development.</w:t>
      </w:r>
    </w:p>
    <w:p>
      <w:pPr>
        <w:pStyle w:val="Heading1"/>
      </w:pPr>
      <w:r>
        <w:t>The AI Project Lifecycle</w:t>
      </w:r>
    </w:p>
    <w:p>
      <w:pPr>
        <w:spacing w:after="160"/>
      </w:pPr>
      <w:r>
        <w:t>Discovery begins with a one-page AI opportunity brief. The team records the user problem, expected value, known risks, and a non-AI baseline. During data readiness, engineers document data origin, consent, retention, quality, and known gaps. Experiments are tracked with model version, prompt version, dataset version, parameters, and evaluation results.</w:t>
      </w:r>
    </w:p>
    <w:p>
      <w:pPr>
        <w:spacing w:after="160"/>
      </w:pPr>
      <w:r>
        <w:t>A project can enter a pilot only after the product owner accepts the usefulness evaluation and the security champion accepts the risk review. Production release also requires monitoring, rollback instructions, an incident owner, and a model or prompt card. Teams review production AI systems at least once each quarter.</w:t>
      </w:r>
    </w:p>
    <w:p>
      <w:pPr>
        <w:pStyle w:val="Heading1"/>
      </w:pPr>
      <w:r>
        <w:t>Retrieval-Augmented Generation Standard</w:t>
      </w:r>
    </w:p>
    <w:p>
      <w:pPr>
        <w:spacing w:after="160"/>
      </w:pPr>
      <w:r>
        <w:t>NovaTech uses retrieval-augmented generation when answers must be grounded in approved company or customer material. The basic workflow is load, clean, chunk, embed, retrieve, build context, and generate. Teams must preserve source metadata so users can inspect the evidence behind an answer.</w:t>
      </w:r>
    </w:p>
    <w:p>
      <w:pPr>
        <w:spacing w:after="160"/>
      </w:pPr>
      <w:r>
        <w:t>The starting chunk size is 600 to 1,000 characters with 10 to 20 percent overlap. Engineers tune these values using representative questions rather than assuming one setting works for every collection. Retrieval evaluations track context precision, context recall, answer correctness, citation correctness, and the rate of appropriate 'not found' responses.</w:t>
      </w:r>
    </w:p>
    <w:p>
      <w:pPr>
        <w:spacing w:after="160"/>
      </w:pPr>
      <w:r>
        <w:t>For conversational search, a short query-rewriting prompt may convert follow-up questions into standalone retrieval queries. Retrieved chunks should be filtered by a tested relevance threshold before they reach the answer model. Threshold values are embedding-model-specific and must be re-evaluated after a model change.</w:t>
      </w:r>
    </w:p>
    <w:p>
      <w:pPr>
        <w:pStyle w:val="Heading1"/>
      </w:pPr>
      <w:r>
        <w:t>Prompting and Evaluation</w:t>
      </w:r>
    </w:p>
    <w:p>
      <w:pPr>
        <w:spacing w:after="160"/>
      </w:pPr>
      <w:r>
        <w:t>Prompts should state the task, permitted context, output format, and refusal behavior in plain language. Prompts are versioned with the application code. A prompt change requires a small regression set covering typical, difficult, ambiguous, and unanswerable questions.</w:t>
      </w:r>
    </w:p>
    <w:p>
      <w:pPr>
        <w:spacing w:after="160"/>
      </w:pPr>
      <w:r>
        <w:t>Human review is required for evaluations involving safety, legal interpretation, or high-impact customer decisions. Synthetic test data is encouraged, but it must not replace representative, authorized examples. Evaluation results are attached to the release record.</w:t>
      </w:r>
    </w:p>
    <w:p>
      <w:pPr>
        <w:pStyle w:val="Heading1"/>
      </w:pPr>
      <w:r>
        <w:t>Security Requirements for AI Teams</w:t>
      </w:r>
    </w:p>
    <w:p>
      <w:pPr>
        <w:spacing w:after="160"/>
      </w:pPr>
      <w:r>
        <w:t>AI engineers may use only NovaTech-approved model providers and accounts. Customer data, source code, credentials, personal data, and internal restricted documents must never be pasted into public consumer AI tools. API keys belong in the approved secret manager or local environment variables, never in notebooks or Git.</w:t>
      </w:r>
    </w:p>
    <w:p>
      <w:pPr>
        <w:spacing w:after="160"/>
      </w:pPr>
      <w:r>
        <w:t>Before sending data to a model API, teams minimize the fields, remove direct identifiers where possible, and confirm the provider's retention setting. RAG indexes inherit the highest classification of their source documents. Access to an index must match access to its sources.</w:t>
      </w:r>
    </w:p>
    <w:p>
      <w:pPr>
        <w:spacing w:after="160"/>
      </w:pPr>
      <w:r>
        <w:t>Prompt-injection testing is mandatory for RAG applications that read user-supplied documents. Retrieved text is treated as untrusted data, not as system instructions. Applications must log document identifiers and model versions without logging sensitive prompt content.</w:t>
      </w:r>
    </w:p>
    <w:p>
      <w:pPr>
        <w:pStyle w:val="Heading1"/>
      </w:pPr>
      <w:r>
        <w:t>Remote Collaboration for AI Engineering</w:t>
      </w:r>
    </w:p>
    <w:p>
      <w:pPr>
        <w:spacing w:after="160"/>
      </w:pPr>
      <w:r>
        <w:t>AI engineering teams follow the company hybrid-work policy in the employee policy document. In addition, remote experiments must run on managed NovaTech devices or approved cloud workspaces. Restricted datasets may not be downloaded to personal devices, removable media, or unapproved local folders.</w:t>
      </w:r>
    </w:p>
    <w:p>
      <w:pPr>
        <w:spacing w:after="160"/>
      </w:pPr>
      <w:r>
        <w:t>Teams hold a 15-minute weekday checkpoint in their agreed collaboration window. Design decisions, experiment results, and handoffs must be written in the project workspace so colleagues in other time zones are not excluded. Production model changes cannot be approved solely through a chat message.</w:t>
      </w:r>
    </w:p>
    <w:p>
      <w:pPr>
        <w:pStyle w:val="Heading1"/>
      </w:pPr>
      <w:r>
        <w:t>Incident Response and Ownership</w:t>
      </w:r>
    </w:p>
    <w:p>
      <w:pPr>
        <w:spacing w:after="160"/>
      </w:pPr>
      <w:r>
        <w:t>Examples of AI incidents include disclosure of sensitive context, harmful or materially incorrect output, unexplained model drift, broken citations, or sudden cost spikes. The on-call engineer disables the affected feature or switches to the documented fallback, preserves relevant evidence, and opens a security incident ticket.</w:t>
      </w:r>
    </w:p>
    <w:p>
      <w:pPr>
        <w:spacing w:after="160"/>
      </w:pPr>
      <w:r>
        <w:t>The team notifies the Security Response Desk within 30 minutes for a suspected data exposure and within four hours for other serious AI incidents. A blameless review documents impact, cause, correction, and prevention actions.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