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v74k9jlekg" w:id="0"/>
      <w:bookmarkEnd w:id="0"/>
      <w:r w:rsidDel="00000000" w:rsidR="00000000" w:rsidRPr="00000000">
        <w:rPr>
          <w:rtl w:val="0"/>
        </w:rPr>
        <w:t xml:space="preserve">CA Connect — Module Context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Context handoff for building a new module inside the existing Kadlag Investment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o84196fgkxr" w:id="1"/>
      <w:bookmarkEnd w:id="1"/>
      <w:r w:rsidDel="00000000" w:rsidR="00000000" w:rsidRPr="00000000">
        <w:rPr>
          <w:rtl w:val="0"/>
        </w:rPr>
        <w:t xml:space="preserve">1. What this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Kadlag Investment (AMFI-registered MFD, ARN-295541, Sangamner, Maharashtra) distributes mutual funds, life insurance, and health insurance. The founder currently closes ~90% of sales personally. The long-term goal is to scale beyond founder-led sales by building a </w:t>
      </w:r>
      <w:r w:rsidDel="00000000" w:rsidR="00000000" w:rsidRPr="00000000">
        <w:rPr>
          <w:b w:val="1"/>
          <w:bCs w:val="1"/>
          <w:rtl w:val="0"/>
        </w:rPr>
        <w:t xml:space="preserve">referral ecosystem of Chartered Accountants (CAs), tax/GST consultants, and lawyers</w:t>
      </w:r>
      <w:r w:rsidDel="00000000" w:rsidR="00000000" w:rsidRPr="00000000">
        <w:rPr>
          <w:rtl w:val="0"/>
        </w:rPr>
        <w:t xml:space="preserve"> who already hold trusted relationships with business owners.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CA Connect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 new module inside our existing CRM (which already has Admin and Employee roles) that operationalizes this ecosystem: onboarding CA partners, tracking the leads they refer, managing the conversion → servicing → payout lifecycle, and enforcing the compliance rules that govern who can legally be paid.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brief is the domain + logic context. Implementation (models, views, permissions, UI) is to be decided after reading this.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ucjho87v8wh" w:id="2"/>
      <w:bookmarkEnd w:id="2"/>
      <w:r w:rsidDel="00000000" w:rsidR="00000000" w:rsidRPr="00000000">
        <w:rPr>
          <w:rtl w:val="0"/>
        </w:rPr>
        <w:t xml:space="preserve">2. The core business model — two tracks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Every CA partner sits in one of two tracks. The system's job is to support both and </w:t>
      </w:r>
      <w:r w:rsidDel="00000000" w:rsidR="00000000" w:rsidRPr="00000000">
        <w:rPr>
          <w:b w:val="1"/>
          <w:bCs w:val="1"/>
          <w:rtl w:val="0"/>
        </w:rPr>
        <w:t xml:space="preserve">migrate serious partners from Track 1 to Track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1 — Referral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2 — Registered Sub-Partner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registration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Unregistered (no ARN / no insurance license)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Holds own ARN and/or POSP / agent license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they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introduction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Introduce + co-advise + retain client 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they're compensated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per-transaction commission. Reciprocal value only (we service their clients, professional courtesy, documented service fees only for real 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Direct, transparent commission split, routed compliantly (e.g. NJ Wealth sub-broker path for MF, POSP for insurance)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Informal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Formalized once business is meaningful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whole point: at the start we carry the sales burden and the CA just refers. But a Track 1 CA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paid an ongoing commission — because legally they can't be (see §4), and because "free commission forever for a one-time intro" is exactly the unhealthy outcome we're avoiding. When the money becomes real enough that the CA wants a cut, that is precisely the trigger for them to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and move to Track 2, where they earn by doing real ongoing work.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z2f1o6ynhbv" w:id="3"/>
      <w:bookmarkEnd w:id="3"/>
      <w:r w:rsidDel="00000000" w:rsidR="00000000" w:rsidRPr="00000000">
        <w:rPr>
          <w:rtl w:val="0"/>
        </w:rPr>
        <w:t xml:space="preserve">3. Compensation logic (Track 2 — registered partners)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Money is tied to </w:t>
      </w:r>
      <w:r w:rsidDel="00000000" w:rsidR="00000000" w:rsidRPr="00000000">
        <w:rPr>
          <w:b w:val="1"/>
          <w:bCs w:val="1"/>
          <w:rtl w:val="0"/>
        </w:rPr>
        <w:t xml:space="preserve">roles performed</w:t>
      </w:r>
      <w:r w:rsidDel="00000000" w:rsidR="00000000" w:rsidRPr="00000000">
        <w:rPr>
          <w:rtl w:val="0"/>
        </w:rPr>
        <w:t xml:space="preserve">, never to a one-time introduction. Net revenue on a client is split by contribution: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Typically performed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/ lead sourcing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 + 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or Kadlag (shared early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 servicing +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Whoever holds the 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(ops, compliance, research, claims, back-office)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Kadlag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Derived outcomes the system must model: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who </w:t>
      </w:r>
      <w:r w:rsidDel="00000000" w:rsidR="00000000" w:rsidRPr="00000000">
        <w:rPr>
          <w:b w:val="1"/>
          <w:bCs w:val="1"/>
          <w:rtl w:val="0"/>
        </w:rPr>
        <w:t xml:space="preserve">only introduces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~20%, and this share </w:t>
      </w:r>
      <w:r w:rsidDel="00000000" w:rsidR="00000000" w:rsidRPr="00000000">
        <w:rPr>
          <w:b w:val="1"/>
          <w:bCs w:val="1"/>
          <w:rtl w:val="0"/>
        </w:rPr>
        <w:t xml:space="preserve">decays over time</w:t>
      </w:r>
      <w:r w:rsidDel="00000000" w:rsidR="00000000" w:rsidRPr="00000000">
        <w:rPr>
          <w:rtl w:val="0"/>
        </w:rPr>
        <w:t xml:space="preserve"> (e.g. full for Year 1–2, then tapers to a floor or ceases). This is the anti-"free-commission" lever.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who introduces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services → 20% + 30% = ~50% ongoing.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Kadlag always retains the ~20% Hub slice (compliance + back-office is the value the CA can't replicate solo).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Guiding principle, stated to every partner: </w:t>
      </w:r>
      <w:r w:rsidDel="00000000" w:rsidR="00000000" w:rsidRPr="00000000">
        <w:rPr>
          <w:b w:val="1"/>
          <w:bCs w:val="1"/>
          <w:rtl w:val="0"/>
        </w:rPr>
        <w:t xml:space="preserve">acquisition is rewarded once; the trail belongs to whoever services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these weights are the default starting model, not fixed law. They should be configurable per partner/agreement, not hard-coded.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zx3arquurqz" w:id="4"/>
      <w:bookmarkEnd w:id="4"/>
      <w:r w:rsidDel="00000000" w:rsidR="00000000" w:rsidRPr="00000000">
        <w:rPr>
          <w:rtl w:val="0"/>
        </w:rPr>
        <w:t xml:space="preserve">4. Regulatory constraints — MUST be enforced by the system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These are hard rules, not preferences. The module must make non-compliant payouts structurally impossible.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funds (SEBI / AMFI):</w:t>
      </w:r>
      <w:r w:rsidDel="00000000" w:rsidR="00000000" w:rsidRPr="00000000">
        <w:rPr>
          <w:rtl w:val="0"/>
        </w:rPr>
        <w:t xml:space="preserve"> MF commission (brokerage) can be paid </w:t>
      </w:r>
      <w:r w:rsidDel="00000000" w:rsidR="00000000" w:rsidRPr="00000000">
        <w:rPr>
          <w:b w:val="1"/>
          <w:bCs w:val="1"/>
          <w:rtl w:val="0"/>
        </w:rPr>
        <w:t xml:space="preserve">only to a valid ARN holder.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Sharing brokerage with a non-ARN person is prohibited. → An unregistered (Track 1) CA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be assigned any MF commission payout in the system.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(IRDAI):</w:t>
      </w:r>
      <w:r w:rsidDel="00000000" w:rsidR="00000000" w:rsidRPr="00000000">
        <w:rPr>
          <w:rtl w:val="0"/>
        </w:rPr>
        <w:t xml:space="preserve"> Commission can be earned </w:t>
      </w:r>
      <w:r w:rsidDel="00000000" w:rsidR="00000000" w:rsidRPr="00000000">
        <w:rPr>
          <w:b w:val="1"/>
          <w:bCs w:val="1"/>
          <w:rtl w:val="0"/>
        </w:rPr>
        <w:t xml:space="preserve">only by a licensed intermediary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(POSP / agent / corporate-agent specified person). Section 41 bars rebating. → An unlicensed (Track 1) CA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be assigned any insurance commission payout.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 for the system:</w:t>
      </w:r>
      <w:r w:rsidDel="00000000" w:rsidR="00000000" w:rsidRPr="00000000">
        <w:rPr>
          <w:rtl w:val="0"/>
        </w:rPr>
        <w:t xml:space="preserve"> A partner's registration status (ARN present? insurance license present?) must gate whether commission records can be created against them. Track 1 partners can be linked to leads and reciprocal-value logs, but the payout/commission subsystem must refuse to attach a commission share to them.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(These reflect the general shape of current regulation and should be confirmed with a compliance advisor before go-live. This is not legal advice. The system should be built so the specific thresholds and rules are configurable, because regulation changes.)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4fho7wrcm8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The migration trigger (Track 1 → Track 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Migration from informal referral to formal registered partner should fire on an </w:t>
      </w:r>
      <w:r w:rsidDel="00000000" w:rsidR="00000000" w:rsidRPr="00000000">
        <w:rPr>
          <w:b w:val="1"/>
          <w:bCs w:val="1"/>
          <w:rtl w:val="0"/>
        </w:rPr>
        <w:t xml:space="preserve">objective threshold</w:t>
      </w:r>
      <w:r w:rsidDel="00000000" w:rsidR="00000000" w:rsidRPr="00000000">
        <w:rPr>
          <w:rtl w:val="0"/>
        </w:rPr>
        <w:t xml:space="preserve">, not a case-by-case negotiation. Migrate when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Cumulative sourced AUM crosses ~₹25–50L,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5+ clients introduced,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Would-be annual payout crosses ~₹50k–1L.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threshold → informal, reciprocal, Kadlag closes. At/above threshold → system flags the CA as "eligible for Track 2" and prompts registration + written agreement before any commission can flow.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thresholds should be </w:t>
      </w:r>
      <w:r w:rsidDel="00000000" w:rsidR="00000000" w:rsidRPr="00000000">
        <w:rPr>
          <w:b w:val="1"/>
          <w:bCs w:val="1"/>
          <w:rtl w:val="0"/>
        </w:rPr>
        <w:t xml:space="preserve">admin-configurable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8tczq7e8uy5" w:id="6"/>
      <w:bookmarkEnd w:id="6"/>
      <w:r w:rsidDel="00000000" w:rsidR="00000000" w:rsidRPr="00000000">
        <w:rPr>
          <w:rtl w:val="0"/>
        </w:rPr>
        <w:t xml:space="preserve">6. Partner segmentation (for CRM tagging / pipeline)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CAs (200–500 SME clients)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Business-owner base, does tax/GST 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— warm intros to promoters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Young / growth 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practice, open to new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Most likely to register → future city partners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Compliance-only 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Audit-heavy, risk-averse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— Track 1 only or skip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8en843axx79f" w:id="7"/>
      <w:bookmarkEnd w:id="7"/>
      <w:r w:rsidDel="00000000" w:rsidR="00000000" w:rsidRPr="00000000">
        <w:rPr>
          <w:rtl w:val="0"/>
        </w:rPr>
        <w:t xml:space="preserve">7. What CA Connect needs to do (functional scope — for discussion)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Rough capability list. </w:t>
      </w:r>
      <w:r w:rsidDel="00000000" w:rsidR="00000000" w:rsidRPr="00000000">
        <w:rPr>
          <w:b w:val="1"/>
          <w:bCs w:val="1"/>
          <w:rtl w:val="0"/>
        </w:rPr>
        <w:t xml:space="preserve">Not yet prioritized — implementation scope to be decided after this brief is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Partner profiles</w:t>
      </w:r>
      <w:r w:rsidDel="00000000" w:rsidR="00000000" w:rsidRPr="00000000">
        <w:rPr>
          <w:rtl w:val="0"/>
        </w:rPr>
        <w:t xml:space="preserve"> — contact, firm, segment tag, track (1 or 2), registration status (ARN no. / insurance license no. + validity), agreement status, migration-eligibility flag.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referral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 CA refers a lead → it enters the CRM's existing lead pipeline, tagged with the sourcing CA → normal Kadlag close process → outcome recorded.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&amp; role tracking</w:t>
      </w:r>
      <w:r w:rsidDel="00000000" w:rsidR="00000000" w:rsidRPr="00000000">
        <w:rPr>
          <w:rtl w:val="0"/>
        </w:rPr>
        <w:t xml:space="preserve"> — per converted client, record who did intro / advisory / closing / servicing, so the compensation split can be computed.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gate</w:t>
      </w:r>
      <w:r w:rsidDel="00000000" w:rsidR="00000000" w:rsidRPr="00000000">
        <w:rPr>
          <w:rtl w:val="0"/>
        </w:rPr>
        <w:t xml:space="preserve"> — enforce §4: block commission assignment to partners lacking the required registration for that product type.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Compensation engine</w:t>
      </w:r>
      <w:r w:rsidDel="00000000" w:rsidR="00000000" w:rsidRPr="00000000">
        <w:rPr>
          <w:rtl w:val="0"/>
        </w:rPr>
        <w:t xml:space="preserve"> — compute splits per §3, including the decay curve for intro-only shares; configurable weights.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engine</w:t>
      </w:r>
      <w:r w:rsidDel="00000000" w:rsidR="00000000" w:rsidRPr="00000000">
        <w:rPr>
          <w:rtl w:val="0"/>
        </w:rPr>
        <w:t xml:space="preserve"> — evaluate §5 thresholds, flag eligible CAs, block formal payout until registration + agreement are on file.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dashboard</w:t>
      </w:r>
      <w:r w:rsidDel="00000000" w:rsidR="00000000" w:rsidRPr="00000000">
        <w:rPr>
          <w:rtl w:val="0"/>
        </w:rPr>
        <w:t xml:space="preserve"> — a CA sees their referred leads, conversions, and (Track 2) earnings — the "stickiness" surface that makes staying on the platform better than going solo.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log</w:t>
      </w:r>
      <w:r w:rsidDel="00000000" w:rsidR="00000000" w:rsidRPr="00000000">
        <w:rPr>
          <w:rtl w:val="0"/>
        </w:rPr>
        <w:t xml:space="preserve"> — track value given back to Track 1 CAs (referrals sent to them, servicing done for their clients) since they can't be paid in cash.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Agreement / document tracking</w:t>
      </w:r>
      <w:r w:rsidDel="00000000" w:rsidR="00000000" w:rsidRPr="00000000">
        <w:rPr>
          <w:rtl w:val="0"/>
        </w:rPr>
        <w:t xml:space="preserve"> — status of signed agreements, service-standard sheets, registration proofs.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7kf5x8tvxsf" w:id="8"/>
      <w:bookmarkEnd w:id="8"/>
      <w:r w:rsidDel="00000000" w:rsidR="00000000" w:rsidRPr="00000000">
        <w:rPr>
          <w:rtl w:val="0"/>
        </w:rPr>
        <w:t xml:space="preserve">8. Fit with existing CRM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CRM already has Admin and Employee roles. CA Connect adds a </w:t>
      </w:r>
      <w:r w:rsidDel="00000000" w:rsidR="00000000" w:rsidRPr="00000000">
        <w:rPr>
          <w:b w:val="1"/>
          <w:bCs w:val="1"/>
          <w:rtl w:val="0"/>
        </w:rPr>
        <w:t xml:space="preserve">CA Partner</w:t>
      </w:r>
      <w:r w:rsidDel="00000000" w:rsidR="00000000" w:rsidRPr="00000000">
        <w:rPr>
          <w:rtl w:val="0"/>
        </w:rPr>
        <w:t xml:space="preserve"> role (external, limited-visibility) and extends the existing lead pipeline with sourcing attribution. It should reuse existing lead/client entities rather than duplicating them — a CA-sourced lead is a normal lead with a sourcing partner attached.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1tf0s67r13gt" w:id="9"/>
      <w:bookmarkEnd w:id="9"/>
      <w:r w:rsidDel="00000000" w:rsidR="00000000" w:rsidRPr="00000000">
        <w:rPr>
          <w:rtl w:val="0"/>
        </w:rPr>
        <w:t xml:space="preserve">9. Open questions to resolve before/while building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does the current CRM model leads and clients? (CA Connect must extend, not fork, these.)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Track 1 partners get any dashboard login, or only Track 2?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Where does actual commission data come from — manual entry, or NJ Wealth / AMC statement import?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is the decay curve defined (linear taper? cliff? per-agreement override)?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we need an audit trail on every compliance-gate rejection (advisable for SEBI/IRDAI defensibility)?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brief. Next step: decide the minimum viable slice to implement first (likely: CA Partner profiles + referral attribution + the compliance gate), then design the Django models around the existing CRM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