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color w:val="1F3D2E"/>
          <w:sz w:val="40"/>
          <w:szCs w:val="40"/>
        </w:rPr>
        <w:t xml:space="preserve">MediKiosk — Module B</w:t>
      </w:r>
    </w:p>
    <w:p>
      <w:pPr>
        <w:spacing w:after="300"/>
      </w:pPr>
      <w:r>
        <w:rPr>
          <w:i/>
          <w:iCs/>
          <w:color w:val="555555"/>
          <w:sz w:val="26"/>
          <w:szCs w:val="26"/>
        </w:rPr>
        <w:t xml:space="preserve">Maximizing Handwritten Prescription OCR &amp; Medicine Detection Accuracy</w:t>
      </w:r>
    </w:p>
    <w:p>
      <w:pPr>
        <w:pStyle w:val="Heading1"/>
        <w:spacing w:after="160" w:before="320"/>
      </w:pPr>
      <w:r>
        <w:t xml:space="preserve">1. What Module B Actually Has To Do</w:t>
      </w:r>
    </w:p>
    <w:p>
      <w:pPr>
        <w:spacing w:after="140"/>
      </w:pPr>
      <w:r>
        <w:t xml:space="preserve">Per the project spec, Module B ingests prior prescriptions, lab reports, and discharge summaries, OCRs them (printed and handwritten, multilingual), extracts diagnoses / medications+dosages / investigation values / procedure history, orders everything into a timeline, and flags abnormal values — feeding a draft into Module C, where the physician edits and confirms before anything is saved. That last part matters: the physician is the final gate, so Module B's job is not "never be wrong," it's "be right when it says AUTO_APPROVED, and honestly say so when it isn't sure." That framing should drive every accuracy decision below.</w:t>
      </w:r>
    </w:p>
    <w:p>
      <w:pPr>
        <w:pStyle w:val="Heading1"/>
        <w:spacing w:after="160" w:before="320"/>
      </w:pPr>
      <w:r>
        <w:t xml:space="preserve">2. Assessment of the Gemini/Antigravity Directive</w:t>
      </w:r>
    </w:p>
    <w:p>
      <w:pPr>
        <w:spacing w:after="140"/>
      </w:pPr>
      <w:r>
        <w:t xml:space="preserve">Reading it against the spec: it's a correct and worthwhile engineering-fix pass — it repairs three real bugs (destructive downsampling before warp, static illumination thresholds, a line-slicer that was built but never wired in). It is not, by itself, an accuracy-maximizing strategy — it improves image quality and does smarter post-hoc filtering, but it doesn't change how the recognition decision itself is made. That's the gap the rest of this document closes.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300"/>
      </w:tblGrid>
      <w:tr>
        <w:tc>
          <w:tcPr>
            <w:tcW w:type="dxa" w:w="2600"/>
            <w:shd w:fill="1F3D2E" w:val="clear"/>
            <w:tcMar>
              <w:top w:type="dxa" w:w="80"/>
              <w:left w:type="dxa" w:w="100"/>
              <w:bottom w:type="dxa" w:w="80"/>
              <w:right w:type="dxa" w:w="100"/>
            </w:tcMar>
          </w:tcPr>
          <w:p>
            <w:pPr>
              <w:jc w:val="left"/>
            </w:pPr>
            <w:r>
              <w:rPr>
                <w:b/>
                <w:bCs/>
              </w:rPr>
              <w:t xml:space="preserve">Item</w:t>
            </w:r>
          </w:p>
        </w:tc>
        <w:tc>
          <w:tcPr>
            <w:tcW w:type="dxa" w:w="1700"/>
            <w:shd w:fill="1F3D2E" w:val="clear"/>
            <w:tcMar>
              <w:top w:type="dxa" w:w="80"/>
              <w:left w:type="dxa" w:w="100"/>
              <w:bottom w:type="dxa" w:w="80"/>
              <w:right w:type="dxa" w:w="100"/>
            </w:tcMar>
          </w:tcPr>
          <w:p>
            <w:pPr>
              <w:jc w:val="left"/>
            </w:pPr>
            <w:r>
              <w:rPr>
                <w:b/>
                <w:bCs/>
              </w:rPr>
              <w:t xml:space="preserve">Verdict</w:t>
            </w:r>
          </w:p>
        </w:tc>
        <w:tc>
          <w:tcPr>
            <w:tcW w:type="dxa" w:w="5300"/>
            <w:shd w:fill="1F3D2E" w:val="clear"/>
            <w:tcMar>
              <w:top w:type="dxa" w:w="80"/>
              <w:left w:type="dxa" w:w="100"/>
              <w:bottom w:type="dxa" w:w="80"/>
              <w:right w:type="dxa" w:w="100"/>
            </w:tcMar>
          </w:tcPr>
          <w:p>
            <w:pPr>
              <w:jc w:val="left"/>
            </w:pPr>
            <w:r>
              <w:rPr>
                <w:b/>
                <w:bCs/>
              </w:rPr>
              <w:t xml:space="preserve">Why</w:t>
            </w:r>
          </w:p>
        </w:tc>
      </w:tr>
      <w:tr>
        <w:tc>
          <w:tcPr>
            <w:tcW w:type="dxa" w:w="2600"/>
            <w:tcMar>
              <w:top w:type="dxa" w:w="80"/>
              <w:left w:type="dxa" w:w="100"/>
              <w:bottom w:type="dxa" w:w="80"/>
              <w:right w:type="dxa" w:w="100"/>
            </w:tcMar>
          </w:tcPr>
          <w:p>
            <w:pPr>
              <w:jc w:val="left"/>
            </w:pPr>
            <w:r>
              <w:rPr>
                <w:b w:val="false"/>
                <w:bCs w:val="false"/>
              </w:rPr>
              <w:t xml:space="preserve">High-res preserving dewarp</w:t>
            </w:r>
          </w:p>
        </w:tc>
        <w:tc>
          <w:tcPr>
            <w:tcW w:type="dxa" w:w="1700"/>
            <w:tcMar>
              <w:top w:type="dxa" w:w="80"/>
              <w:left w:type="dxa" w:w="100"/>
              <w:bottom w:type="dxa" w:w="80"/>
              <w:right w:type="dxa" w:w="100"/>
            </w:tcMar>
          </w:tcPr>
          <w:p>
            <w:pPr>
              <w:jc w:val="left"/>
            </w:pPr>
            <w:r>
              <w:rPr>
                <w:b w:val="false"/>
                <w:bCs w:val="false"/>
              </w:rPr>
              <w:t xml:space="preserve">Keep</w:t>
            </w:r>
          </w:p>
        </w:tc>
        <w:tc>
          <w:tcPr>
            <w:tcW w:type="dxa" w:w="5300"/>
            <w:tcMar>
              <w:top w:type="dxa" w:w="80"/>
              <w:left w:type="dxa" w:w="100"/>
              <w:bottom w:type="dxa" w:w="80"/>
              <w:right w:type="dxa" w:w="100"/>
            </w:tcMar>
          </w:tcPr>
          <w:p>
            <w:pPr>
              <w:jc w:val="left"/>
            </w:pPr>
            <w:r>
              <w:rPr>
                <w:b w:val="false"/>
                <w:bCs w:val="false"/>
              </w:rPr>
              <w:t xml:space="preserve">Correct fix — warping a 500px downsample destroys thin ballpoint strokes before OCR ever sees them. This is a real bug fix, not an accuracy "nice-to-have."</w:t>
            </w:r>
          </w:p>
        </w:tc>
      </w:tr>
      <w:tr>
        <w:tc>
          <w:tcPr>
            <w:tcW w:type="dxa" w:w="2600"/>
            <w:tcMar>
              <w:top w:type="dxa" w:w="80"/>
              <w:left w:type="dxa" w:w="100"/>
              <w:bottom w:type="dxa" w:w="80"/>
              <w:right w:type="dxa" w:w="100"/>
            </w:tcMar>
          </w:tcPr>
          <w:p>
            <w:pPr>
              <w:jc w:val="left"/>
            </w:pPr>
            <w:r>
              <w:rPr>
                <w:b w:val="false"/>
                <w:bCs w:val="false"/>
              </w:rPr>
              <w:t xml:space="preserve">LAB + CLAHE illumination normalization</w:t>
            </w:r>
          </w:p>
        </w:tc>
        <w:tc>
          <w:tcPr>
            <w:tcW w:type="dxa" w:w="1700"/>
            <w:tcMar>
              <w:top w:type="dxa" w:w="80"/>
              <w:left w:type="dxa" w:w="100"/>
              <w:bottom w:type="dxa" w:w="80"/>
              <w:right w:type="dxa" w:w="100"/>
            </w:tcMar>
          </w:tcPr>
          <w:p>
            <w:pPr>
              <w:jc w:val="left"/>
            </w:pPr>
            <w:r>
              <w:rPr>
                <w:b w:val="false"/>
                <w:bCs w:val="false"/>
              </w:rPr>
              <w:t xml:space="preserve">Keep</w:t>
            </w:r>
          </w:p>
        </w:tc>
        <w:tc>
          <w:tcPr>
            <w:tcW w:type="dxa" w:w="5300"/>
            <w:tcMar>
              <w:top w:type="dxa" w:w="80"/>
              <w:left w:type="dxa" w:w="100"/>
              <w:bottom w:type="dxa" w:w="80"/>
              <w:right w:type="dxa" w:w="100"/>
            </w:tcMar>
          </w:tcPr>
          <w:p>
            <w:pPr>
              <w:jc w:val="left"/>
            </w:pPr>
            <w:r>
              <w:rPr>
                <w:b w:val="false"/>
                <w:bCs w:val="false"/>
              </w:rPr>
              <w:t xml:space="preserve">Standard, well-proven technique for faded/uneven ink on aged or carbon-copy pads. Static HSV thresholds were guaranteed to clip light ink — good catch.</w:t>
            </w:r>
          </w:p>
        </w:tc>
      </w:tr>
      <w:tr>
        <w:tc>
          <w:tcPr>
            <w:tcW w:type="dxa" w:w="2600"/>
            <w:tcMar>
              <w:top w:type="dxa" w:w="80"/>
              <w:left w:type="dxa" w:w="100"/>
              <w:bottom w:type="dxa" w:w="80"/>
              <w:right w:type="dxa" w:w="100"/>
            </w:tcMar>
          </w:tcPr>
          <w:p>
            <w:pPr>
              <w:jc w:val="left"/>
            </w:pPr>
            <w:r>
              <w:rPr>
                <w:b w:val="false"/>
                <w:bCs w:val="false"/>
              </w:rPr>
              <w:t xml:space="preserve">Line-slicing integration (full page + crops to VLM)</w:t>
            </w:r>
          </w:p>
        </w:tc>
        <w:tc>
          <w:tcPr>
            <w:tcW w:type="dxa" w:w="1700"/>
            <w:tcMar>
              <w:top w:type="dxa" w:w="80"/>
              <w:left w:type="dxa" w:w="100"/>
              <w:bottom w:type="dxa" w:w="80"/>
              <w:right w:type="dxa" w:w="100"/>
            </w:tcMar>
          </w:tcPr>
          <w:p>
            <w:pPr>
              <w:jc w:val="left"/>
            </w:pPr>
            <w:r>
              <w:rPr>
                <w:b w:val="false"/>
                <w:bCs w:val="false"/>
              </w:rPr>
              <w:t xml:space="preserve">Keep</w:t>
            </w:r>
          </w:p>
        </w:tc>
        <w:tc>
          <w:tcPr>
            <w:tcW w:type="dxa" w:w="5300"/>
            <w:tcMar>
              <w:top w:type="dxa" w:w="80"/>
              <w:left w:type="dxa" w:w="100"/>
              <w:bottom w:type="dxa" w:w="80"/>
              <w:right w:type="dxa" w:w="100"/>
            </w:tcMar>
          </w:tcPr>
          <w:p>
            <w:pPr>
              <w:jc w:val="left"/>
            </w:pPr>
            <w:r>
              <w:rPr>
                <w:b w:val="false"/>
                <w:bCs w:val="false"/>
              </w:rPr>
              <w:t xml:space="preserve">Necessary. Feeding only a full page lets models skip or merge lines; crops without page context lose column/table association. Both together is correct.</w:t>
            </w:r>
          </w:p>
        </w:tc>
      </w:tr>
      <w:tr>
        <w:tc>
          <w:tcPr>
            <w:tcW w:type="dxa" w:w="2600"/>
            <w:tcMar>
              <w:top w:type="dxa" w:w="80"/>
              <w:left w:type="dxa" w:w="100"/>
              <w:bottom w:type="dxa" w:w="80"/>
              <w:right w:type="dxa" w:w="100"/>
            </w:tcMar>
          </w:tcPr>
          <w:p>
            <w:pPr>
              <w:jc w:val="left"/>
            </w:pPr>
            <w:r>
              <w:rPr>
                <w:b w:val="false"/>
                <w:bCs w:val="false"/>
              </w:rPr>
              <w:t xml:space="preserve">Clinical-prior injection from Module A</w:t>
            </w:r>
          </w:p>
        </w:tc>
        <w:tc>
          <w:tcPr>
            <w:tcW w:type="dxa" w:w="1700"/>
            <w:tcMar>
              <w:top w:type="dxa" w:w="80"/>
              <w:left w:type="dxa" w:w="100"/>
              <w:bottom w:type="dxa" w:w="80"/>
              <w:right w:type="dxa" w:w="100"/>
            </w:tcMar>
          </w:tcPr>
          <w:p>
            <w:pPr>
              <w:jc w:val="left"/>
            </w:pPr>
            <w:r>
              <w:rPr>
                <w:b w:val="false"/>
                <w:bCs w:val="false"/>
              </w:rPr>
              <w:t xml:space="preserve">Keep, with a guardrail</w:t>
            </w:r>
          </w:p>
        </w:tc>
        <w:tc>
          <w:tcPr>
            <w:tcW w:type="dxa" w:w="5300"/>
            <w:tcMar>
              <w:top w:type="dxa" w:w="80"/>
              <w:left w:type="dxa" w:w="100"/>
              <w:bottom w:type="dxa" w:w="80"/>
              <w:right w:type="dxa" w:w="100"/>
            </w:tcMar>
          </w:tcPr>
          <w:p>
            <w:pPr>
              <w:jc w:val="left"/>
            </w:pPr>
            <w:r>
              <w:rPr>
                <w:b w:val="false"/>
                <w:bCs w:val="false"/>
              </w:rPr>
              <w:t xml:space="preserve">Useful for disambiguating sig/dosage, but risky for drug NAME recognition: a model given "patient reports chest pain" can start guessing cardiac drugs that were never written. Use it only for the summary/plausibility layer, never as evidence for what a word says.</w:t>
            </w:r>
          </w:p>
        </w:tc>
      </w:tr>
      <w:tr>
        <w:tc>
          <w:tcPr>
            <w:tcW w:type="dxa" w:w="2600"/>
            <w:tcMar>
              <w:top w:type="dxa" w:w="80"/>
              <w:left w:type="dxa" w:w="100"/>
              <w:bottom w:type="dxa" w:w="80"/>
              <w:right w:type="dxa" w:w="100"/>
            </w:tcMar>
          </w:tcPr>
          <w:p>
            <w:pPr>
              <w:jc w:val="left"/>
            </w:pPr>
            <w:r>
              <w:rPr>
                <w:b w:val="false"/>
                <w:bCs w:val="false"/>
              </w:rPr>
              <w:t xml:space="preserve">Shorthand lexicon (BD/OD/HS/1+0+1 etc.)</w:t>
            </w:r>
          </w:p>
        </w:tc>
        <w:tc>
          <w:tcPr>
            <w:tcW w:type="dxa" w:w="1700"/>
            <w:tcMar>
              <w:top w:type="dxa" w:w="80"/>
              <w:left w:type="dxa" w:w="100"/>
              <w:bottom w:type="dxa" w:w="80"/>
              <w:right w:type="dxa" w:w="100"/>
            </w:tcMar>
          </w:tcPr>
          <w:p>
            <w:pPr>
              <w:jc w:val="left"/>
            </w:pPr>
            <w:r>
              <w:rPr>
                <w:b w:val="false"/>
                <w:bCs w:val="false"/>
              </w:rPr>
              <w:t xml:space="preserve">Keep, restructure</w:t>
            </w:r>
          </w:p>
        </w:tc>
        <w:tc>
          <w:tcPr>
            <w:tcW w:type="dxa" w:w="5300"/>
            <w:tcMar>
              <w:top w:type="dxa" w:w="80"/>
              <w:left w:type="dxa" w:w="100"/>
              <w:bottom w:type="dxa" w:w="80"/>
              <w:right w:type="dxa" w:w="100"/>
            </w:tcMar>
          </w:tcPr>
          <w:p>
            <w:pPr>
              <w:jc w:val="left"/>
            </w:pPr>
            <w:r>
              <w:rPr>
                <w:b w:val="false"/>
                <w:bCs w:val="false"/>
              </w:rPr>
              <w:t xml:space="preserve">Correct list, but hardcoding it into the prompt is hard to test and extend. Move it to an external lookup table with its own unit tests.</w:t>
            </w:r>
          </w:p>
        </w:tc>
      </w:tr>
      <w:tr>
        <w:tc>
          <w:tcPr>
            <w:tcW w:type="dxa" w:w="2600"/>
            <w:tcMar>
              <w:top w:type="dxa" w:w="80"/>
              <w:left w:type="dxa" w:w="100"/>
              <w:bottom w:type="dxa" w:w="80"/>
              <w:right w:type="dxa" w:w="100"/>
            </w:tcMar>
          </w:tcPr>
          <w:p>
            <w:pPr>
              <w:jc w:val="left"/>
            </w:pPr>
            <w:r>
              <w:rPr>
                <w:b w:val="false"/>
                <w:bCs w:val="false"/>
              </w:rPr>
              <w:t xml:space="preserve">Bhashini Indic-OCR hook</w:t>
            </w:r>
          </w:p>
        </w:tc>
        <w:tc>
          <w:tcPr>
            <w:tcW w:type="dxa" w:w="1700"/>
            <w:tcMar>
              <w:top w:type="dxa" w:w="80"/>
              <w:left w:type="dxa" w:w="100"/>
              <w:bottom w:type="dxa" w:w="80"/>
              <w:right w:type="dxa" w:w="100"/>
            </w:tcMar>
          </w:tcPr>
          <w:p>
            <w:pPr>
              <w:jc w:val="left"/>
            </w:pPr>
            <w:r>
              <w:rPr>
                <w:b w:val="false"/>
                <w:bCs w:val="false"/>
              </w:rPr>
              <w:t xml:space="preserve">Unproven — treat as one input, not the authority</w:t>
            </w:r>
          </w:p>
        </w:tc>
        <w:tc>
          <w:tcPr>
            <w:tcW w:type="dxa" w:w="5300"/>
            <w:tcMar>
              <w:top w:type="dxa" w:w="80"/>
              <w:left w:type="dxa" w:w="100"/>
              <w:bottom w:type="dxa" w:w="80"/>
              <w:right w:type="dxa" w:w="100"/>
            </w:tcMar>
          </w:tcPr>
          <w:p>
            <w:pPr>
              <w:jc w:val="left"/>
            </w:pPr>
            <w:r>
              <w:rPr>
                <w:b w:val="false"/>
                <w:bCs w:val="false"/>
              </w:rPr>
              <w:t xml:space="preserve">Bhashini is strong for ASR/translation; its OCR pipeline has not been validated on doctor-cursive Devanagari/Bengali specifically. Don't let it be the sole decision-maker for Indic-script lines without a fallback and a measured accuracy number.</w:t>
            </w:r>
          </w:p>
        </w:tc>
      </w:tr>
      <w:tr>
        <w:tc>
          <w:tcPr>
            <w:tcW w:type="dxa" w:w="2600"/>
            <w:tcMar>
              <w:top w:type="dxa" w:w="80"/>
              <w:left w:type="dxa" w:w="100"/>
              <w:bottom w:type="dxa" w:w="80"/>
              <w:right w:type="dxa" w:w="100"/>
            </w:tcMar>
          </w:tcPr>
          <w:p>
            <w:pPr>
              <w:jc w:val="left"/>
            </w:pPr>
            <w:r>
              <w:rPr>
                <w:b w:val="false"/>
                <w:bCs w:val="false"/>
              </w:rPr>
              <w:t xml:space="preserve">CDSCO fuzzy + phonetic matcher (token_sort_ratio + DoubleMetaphone + strength boost)</w:t>
            </w:r>
          </w:p>
        </w:tc>
        <w:tc>
          <w:tcPr>
            <w:tcW w:type="dxa" w:w="1700"/>
            <w:tcMar>
              <w:top w:type="dxa" w:w="80"/>
              <w:left w:type="dxa" w:w="100"/>
              <w:bottom w:type="dxa" w:w="80"/>
              <w:right w:type="dxa" w:w="100"/>
            </w:tcMar>
          </w:tcPr>
          <w:p>
            <w:pPr>
              <w:jc w:val="left"/>
            </w:pPr>
            <w:r>
              <w:rPr>
                <w:b w:val="false"/>
                <w:bCs w:val="false"/>
              </w:rPr>
              <w:t xml:space="preserve">Sound framework, weak default algorithm choice</w:t>
            </w:r>
          </w:p>
        </w:tc>
        <w:tc>
          <w:tcPr>
            <w:tcW w:type="dxa" w:w="5300"/>
            <w:tcMar>
              <w:top w:type="dxa" w:w="80"/>
              <w:left w:type="dxa" w:w="100"/>
              <w:bottom w:type="dxa" w:w="80"/>
              <w:right w:type="dxa" w:w="100"/>
            </w:tcMar>
          </w:tcPr>
          <w:p>
            <w:pPr>
              <w:jc w:val="left"/>
            </w:pPr>
            <w:r>
              <w:rPr>
                <w:b w:val="false"/>
                <w:bCs w:val="false"/>
              </w:rPr>
              <w:t xml:space="preserve">token_sort_ratio is built for reordered multi-word strings, which drug names rarely are. Single-word handwriting errors are better served by edit-distance/Jaro-Winkler on the raw string. DoubleMetaphone is English-phonetics-tuned and may miss Indian brand-name sound patterns.</w:t>
            </w:r>
          </w:p>
        </w:tc>
      </w:tr>
      <w:tr>
        <w:tc>
          <w:tcPr>
            <w:tcW w:type="dxa" w:w="2600"/>
            <w:tcMar>
              <w:top w:type="dxa" w:w="80"/>
              <w:left w:type="dxa" w:w="100"/>
              <w:bottom w:type="dxa" w:w="80"/>
              <w:right w:type="dxa" w:w="100"/>
            </w:tcMar>
          </w:tcPr>
          <w:p>
            <w:pPr>
              <w:jc w:val="left"/>
            </w:pPr>
            <w:r>
              <w:rPr>
                <w:b w:val="false"/>
                <w:bCs w:val="false"/>
              </w:rPr>
              <w:t xml:space="preserve">0.88 / 0.65 confidence thresholds</w:t>
            </w:r>
          </w:p>
        </w:tc>
        <w:tc>
          <w:tcPr>
            <w:tcW w:type="dxa" w:w="1700"/>
            <w:tcMar>
              <w:top w:type="dxa" w:w="80"/>
              <w:left w:type="dxa" w:w="100"/>
              <w:bottom w:type="dxa" w:w="80"/>
              <w:right w:type="dxa" w:w="100"/>
            </w:tcMar>
          </w:tcPr>
          <w:p>
            <w:pPr>
              <w:jc w:val="left"/>
            </w:pPr>
            <w:r>
              <w:rPr>
                <w:b w:val="false"/>
                <w:bCs w:val="false"/>
              </w:rPr>
              <w:t xml:space="preserve">Unvalidated</w:t>
            </w:r>
          </w:p>
        </w:tc>
        <w:tc>
          <w:tcPr>
            <w:tcW w:type="dxa" w:w="5300"/>
            <w:tcMar>
              <w:top w:type="dxa" w:w="80"/>
              <w:left w:type="dxa" w:w="100"/>
              <w:bottom w:type="dxa" w:w="80"/>
              <w:right w:type="dxa" w:w="100"/>
            </w:tcMar>
          </w:tcPr>
          <w:p>
            <w:pPr>
              <w:jc w:val="left"/>
            </w:pPr>
            <w:r>
              <w:rPr>
                <w:b w:val="false"/>
                <w:bCs w:val="false"/>
              </w:rPr>
              <w:t xml:space="preserve">These are round numbers, not measured ones. Without a labeled test set behind them, they're guesses that happen to look precise.</w:t>
            </w:r>
          </w:p>
        </w:tc>
      </w:tr>
    </w:tbl>
    <w:p>
      <w:pPr>
        <w:spacing w:after="200"/>
      </w:pPr>
    </w:p>
    <w:p>
      <w:pPr>
        <w:pStyle w:val="Heading1"/>
        <w:spacing w:after="160" w:before="320"/>
      </w:pPr>
      <w:r>
        <w:t xml:space="preserve">3. The Actual Levers For Maximum Accuracy</w:t>
      </w:r>
    </w:p>
    <w:p>
      <w:pPr>
        <w:pStyle w:val="Heading2"/>
        <w:spacing w:after="120" w:before="260"/>
      </w:pPr>
      <w:r>
        <w:t xml:space="preserve">3.1 Shortlist, then verify — stop trusting open-vocabulary output</w:t>
      </w:r>
    </w:p>
    <w:p>
      <w:pPr>
        <w:spacing w:after="140"/>
      </w:pPr>
      <w:r>
        <w:t xml:space="preserve">The single highest-leverage change: don't ask the model to freely transcribe a drug name and then fuzzy-match it afterward. Instead, run it as a pipeline:</w:t>
      </w:r>
    </w:p>
    <w:p>
      <w:pPr>
        <w:pStyle w:val="ListParagraph"/>
        <w:numPr>
          <w:ilvl w:val="0"/>
          <w:numId w:val="2"/>
        </w:numPr>
        <w:spacing w:after="80"/>
      </w:pPr>
      <w:r>
        <w:t xml:space="preserve">Pass 1 — Extract: crop the line, run OCR/VLM to get a rough candidate string plus regex-extracted dosage form (Tab/Cap/Syr/Drops) and strength (500mg).</w:t>
      </w:r>
    </w:p>
    <w:p>
      <w:pPr>
        <w:pStyle w:val="ListParagraph"/>
        <w:numPr>
          <w:ilvl w:val="0"/>
          <w:numId w:val="2"/>
        </w:numPr>
        <w:spacing w:after="80"/>
      </w:pPr>
      <w:r>
        <w:t xml:space="preserve">Pass 2 — Retrieve: use the candidate string to pull the top 5–8 nearest entries from the CDSCO/brand-name dictionary, pre-filtered by the detected form and strength.</w:t>
      </w:r>
    </w:p>
    <w:p>
      <w:pPr>
        <w:pStyle w:val="ListParagraph"/>
        <w:numPr>
          <w:ilvl w:val="0"/>
          <w:numId w:val="2"/>
        </w:numPr>
        <w:spacing w:after="80"/>
      </w:pPr>
      <w:r>
        <w:t xml:space="preserve">Pass 3 — Verify: re-prompt the model with the cropped image and the shortlist — "does this image show one of these five names, or none of them?" — instead of asking it to generate from scratch again.</w:t>
      </w:r>
    </w:p>
    <w:p>
      <w:pPr>
        <w:spacing w:after="140"/>
      </w:pPr>
      <w:r>
        <w:t xml:space="preserve">A model choosing between five real, plausible candidates while looking at the image again is far more reliable than a model generating text once from a blurry cursive crop. This is the difference between open-set generation error and closed-set classification error, and it's usually the biggest single accuracy jump available.</w:t>
      </w:r>
    </w:p>
    <w:p>
      <w:pPr>
        <w:pStyle w:val="Heading2"/>
        <w:spacing w:after="120" w:before="260"/>
      </w:pPr>
      <w:r>
        <w:t xml:space="preserve">3.2 Ensemble two independent recognizers and use disagreement as the confidence signal</w:t>
      </w:r>
    </w:p>
    <w:p>
      <w:pPr>
        <w:spacing w:after="140"/>
      </w:pPr>
      <w:r>
        <w:t xml:space="preserve">Run each line crop through the primary VLM and at least one independent engine — a fine-tuned handwriting model, PaddleOCR, or a second VLM provider. Auto-approve only when they agree on the drug name and dosage; anything they disagree on goes straight to MANUAL_REVIEW_REQUIRED, regardless of what the fuzzy-match score says. In practice, cross-model disagreement is a better predictor of a wrong answer than any single model's self-reported confidence.</w:t>
      </w:r>
    </w:p>
    <w:p>
      <w:pPr>
        <w:pStyle w:val="Heading2"/>
        <w:spacing w:after="120" w:before="260"/>
      </w:pPr>
      <w:r>
        <w:t xml:space="preserve">3.3 Fine-tune a dedicated handwriting model — the highest ceiling</w:t>
      </w:r>
    </w:p>
    <w:p>
      <w:pPr>
        <w:spacing w:after="140"/>
      </w:pPr>
      <w:r>
        <w:t xml:space="preserve">General-purpose VLMs are not heavily trained on Indian doctor cursive specifically. If timeline allows, this is the change with the most headroom:</w:t>
      </w:r>
    </w:p>
    <w:p>
      <w:pPr>
        <w:pStyle w:val="ListParagraph"/>
        <w:numPr>
          <w:ilvl w:val="0"/>
          <w:numId w:val="2"/>
        </w:numPr>
        <w:spacing w:after="80"/>
      </w:pPr>
      <w:r>
        <w:t xml:space="preserve">Collect a small labeled set: 200–500 de-identified line crops with ground-truth text, sourced from partner AYUSH OPDs used for the SIH submission.</w:t>
      </w:r>
    </w:p>
    <w:p>
      <w:pPr>
        <w:pStyle w:val="ListParagraph"/>
        <w:numPr>
          <w:ilvl w:val="0"/>
          <w:numId w:val="2"/>
        </w:numPr>
        <w:spacing w:after="80"/>
      </w:pPr>
      <w:r>
        <w:t xml:space="preserve">Augment with synthetic prescriptions — handwriting-style fonts rendered with noise, blur, rotation, and ink-fade — to multiply a small real set into thousands of training examples without waiting on data collection or risking DPDP Act exposure on real patient data.</w:t>
      </w:r>
    </w:p>
    <w:p>
      <w:pPr>
        <w:pStyle w:val="ListParagraph"/>
        <w:numPr>
          <w:ilvl w:val="0"/>
          <w:numId w:val="2"/>
        </w:numPr>
        <w:spacing w:after="80"/>
      </w:pPr>
      <w:r>
        <w:t xml:space="preserve">Fine-tune a lightweight HTR model (TrOCR-base or PaddleOCR's handwriting recognizer) and use it as one ensemble member per §3.2 — even a rough fine-tune measurably improves cursive stroke recognition over zero-shot.</w:t>
      </w:r>
    </w:p>
    <w:p>
      <w:pPr>
        <w:pStyle w:val="Heading2"/>
        <w:spacing w:after="120" w:before="260"/>
      </w:pPr>
      <w:r>
        <w:t xml:space="preserve">3.4 Constrain the output shape, not just the vocabulary</w:t>
      </w:r>
    </w:p>
    <w:p>
      <w:pPr>
        <w:spacing w:after="140"/>
      </w:pPr>
      <w:r>
        <w:t xml:space="preserve">Force the recognizer's output into a fixed schema — {drug_candidate, form, strength, frequency, duration} — rather than free text. This shrinks the error surface per field and makes the downstream dictionary match far more reliable than trying to parse a whole freeform sig line.</w:t>
      </w:r>
    </w:p>
    <w:p>
      <w:pPr>
        <w:pStyle w:val="Heading2"/>
        <w:spacing w:after="120" w:before="260"/>
      </w:pPr>
      <w:r>
        <w:t xml:space="preserve">3.5 Composite, calibrated confidence — not a single fuzzy-match number</w:t>
      </w:r>
    </w:p>
    <w:p>
      <w:pPr>
        <w:spacing w:after="140"/>
      </w:pPr>
      <w:r>
        <w:t xml:space="preserve">Combine several independent signals into one score, and calibrate the AUTO_APPROVED / AMBIGUOUS / MANUAL_REVIEW cutoffs against your own labeled eval set rather than picking round numbers:</w:t>
      </w:r>
    </w:p>
    <w:p>
      <w:pPr>
        <w:pStyle w:val="ListParagraph"/>
        <w:numPr>
          <w:ilvl w:val="0"/>
          <w:numId w:val="2"/>
        </w:numPr>
        <w:spacing w:after="80"/>
      </w:pPr>
      <w:r>
        <w:t xml:space="preserve">OCR/VLM self-confidence or logprob, where available</w:t>
      </w:r>
    </w:p>
    <w:p>
      <w:pPr>
        <w:pStyle w:val="ListParagraph"/>
        <w:numPr>
          <w:ilvl w:val="0"/>
          <w:numId w:val="2"/>
        </w:numPr>
        <w:spacing w:after="80"/>
      </w:pPr>
      <w:r>
        <w:t xml:space="preserve">Ensemble agreement between the two recognizers (§3.2)</w:t>
      </w:r>
    </w:p>
    <w:p>
      <w:pPr>
        <w:pStyle w:val="ListParagraph"/>
        <w:numPr>
          <w:ilvl w:val="0"/>
          <w:numId w:val="2"/>
        </w:numPr>
        <w:spacing w:after="80"/>
      </w:pPr>
      <w:r>
        <w:t xml:space="preserve">String similarity — edit-distance/Jaro-Winkler on the raw candidate, not token_sort_ratio</w:t>
      </w:r>
    </w:p>
    <w:p>
      <w:pPr>
        <w:pStyle w:val="ListParagraph"/>
        <w:numPr>
          <w:ilvl w:val="0"/>
          <w:numId w:val="2"/>
        </w:numPr>
        <w:spacing w:after="80"/>
      </w:pPr>
      <w:r>
        <w:t xml:space="preserve">Dosage-form and strength consistency with the matched dictionary entry</w:t>
      </w:r>
    </w:p>
    <w:p>
      <w:pPr>
        <w:pStyle w:val="ListParagraph"/>
        <w:numPr>
          <w:ilvl w:val="0"/>
          <w:numId w:val="2"/>
        </w:numPr>
        <w:spacing w:after="80"/>
      </w:pPr>
      <w:r>
        <w:t xml:space="preserve">Clinical-prior plausibility from Module A — as a small soft boost only, never as standalone justification (see §2, clinical-prior row)</w:t>
      </w:r>
    </w:p>
    <w:p>
      <w:pPr>
        <w:pStyle w:val="Heading2"/>
        <w:spacing w:after="120" w:before="260"/>
      </w:pPr>
      <w:r>
        <w:t xml:space="preserve">3.6 Build the evaluation harness before writing more pipeline code</w:t>
      </w:r>
    </w:p>
    <w:p>
      <w:pPr>
        <w:spacing w:after="140"/>
      </w:pPr>
      <w:r>
        <w:t xml:space="preserve">This is the piece missing from the whole guide, and it's the one your preference for hard accuracy numbers depends on. Assemble 50–100 diverse handwritten prescriptions (real de-identified + synthetic), with ground-truth drug lists, and track two numbers after every change: raw OCR character error rate (CER), and top-1/top-3 accuracy of the final matched drug name. Without this, "we added CLAHE" is a claim; with it, it's a measured 12% CER reduction — which is what will actually hold up in front of SIH judges.</w:t>
      </w:r>
    </w:p>
    <w:p>
      <w:pPr>
        <w:pStyle w:val="Heading2"/>
        <w:spacing w:after="120" w:before="260"/>
      </w:pPr>
      <w:r>
        <w:t xml:space="preserve">3.7 Treat human review as the accuracy ceiling, not a fallback</w:t>
      </w:r>
    </w:p>
    <w:p>
      <w:pPr>
        <w:spacing w:after="140"/>
      </w:pPr>
      <w:r>
        <w:t xml:space="preserve">Because the physician always edits/confirms in Module C, the real optimization target is asymmetric: never let a wrong drug slip through as AUTO_APPROVED, even if that means routing more cases to review than strictly necessary. A system that is slightly more conservative but never silently wrong will be trusted; one that's marginally more "accurate" on paper but occasionally auto-approves a wrong drug name will not be.</w:t>
      </w:r>
    </w:p>
    <w:p>
      <w:pPr>
        <w:pStyle w:val="Heading2"/>
        <w:spacing w:after="120" w:before="260"/>
      </w:pPr>
      <w:r>
        <w:t xml:space="preserve">3.8 Vernacular sig instructions — same idea, less prompt-stuffing</w:t>
      </w:r>
    </w:p>
    <w:p>
      <w:pPr>
        <w:spacing w:after="140"/>
      </w:pPr>
      <w:r>
        <w:t xml:space="preserve">Keep the BD/OD/HS/khane-ke-baad lexicon, but move it out of the prompt into an external, unit-testable lookup (YAML/JSON) with a regex normalization pass first. Only hand the LLM the residual phrases that don't match a known pattern — cheaper, more deterministic, and easier to extend than growing the prompt indefinitely.</w:t>
      </w:r>
    </w:p>
    <w:p>
      <w:pPr>
        <w:pStyle w:val="Heading1"/>
        <w:spacing w:after="160" w:before="320"/>
      </w:pPr>
      <w:r>
        <w:t xml:space="preserve">4. Priority Roadmap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5300"/>
        <w:gridCol w:w="2900"/>
      </w:tblGrid>
      <w:tr>
        <w:tc>
          <w:tcPr>
            <w:tcW w:type="dxa" w:w="1400"/>
            <w:shd w:fill="1F3D2E" w:val="clear"/>
            <w:tcMar>
              <w:top w:type="dxa" w:w="80"/>
              <w:left w:type="dxa" w:w="100"/>
              <w:bottom w:type="dxa" w:w="80"/>
              <w:right w:type="dxa" w:w="100"/>
            </w:tcMar>
          </w:tcPr>
          <w:p>
            <w:pPr>
              <w:jc w:val="left"/>
            </w:pPr>
            <w:r>
              <w:rPr>
                <w:b/>
                <w:bCs/>
              </w:rPr>
              <w:t xml:space="preserve">Tier</w:t>
            </w:r>
          </w:p>
        </w:tc>
        <w:tc>
          <w:tcPr>
            <w:tcW w:type="dxa" w:w="5300"/>
            <w:shd w:fill="1F3D2E" w:val="clear"/>
            <w:tcMar>
              <w:top w:type="dxa" w:w="80"/>
              <w:left w:type="dxa" w:w="100"/>
              <w:bottom w:type="dxa" w:w="80"/>
              <w:right w:type="dxa" w:w="100"/>
            </w:tcMar>
          </w:tcPr>
          <w:p>
            <w:pPr>
              <w:jc w:val="left"/>
            </w:pPr>
            <w:r>
              <w:rPr>
                <w:b/>
                <w:bCs/>
              </w:rPr>
              <w:t xml:space="preserve">Work</w:t>
            </w:r>
          </w:p>
        </w:tc>
        <w:tc>
          <w:tcPr>
            <w:tcW w:type="dxa" w:w="2900"/>
            <w:shd w:fill="1F3D2E" w:val="clear"/>
            <w:tcMar>
              <w:top w:type="dxa" w:w="80"/>
              <w:left w:type="dxa" w:w="100"/>
              <w:bottom w:type="dxa" w:w="80"/>
              <w:right w:type="dxa" w:w="100"/>
            </w:tcMar>
          </w:tcPr>
          <w:p>
            <w:pPr>
              <w:jc w:val="left"/>
            </w:pPr>
            <w:r>
              <w:rPr>
                <w:b/>
                <w:bCs/>
              </w:rPr>
              <w:t xml:space="preserve">Why this order</w:t>
            </w:r>
          </w:p>
        </w:tc>
      </w:tr>
      <w:tr>
        <w:tc>
          <w:tcPr>
            <w:tcW w:type="dxa" w:w="1400"/>
            <w:tcMar>
              <w:top w:type="dxa" w:w="80"/>
              <w:left w:type="dxa" w:w="100"/>
              <w:bottom w:type="dxa" w:w="80"/>
              <w:right w:type="dxa" w:w="100"/>
            </w:tcMar>
          </w:tcPr>
          <w:p>
            <w:pPr>
              <w:jc w:val="left"/>
            </w:pPr>
            <w:r>
              <w:rPr>
                <w:b w:val="false"/>
                <w:bCs w:val="false"/>
              </w:rPr>
              <w:t xml:space="preserve">Now</w:t>
            </w:r>
          </w:p>
        </w:tc>
        <w:tc>
          <w:tcPr>
            <w:tcW w:type="dxa" w:w="5300"/>
            <w:tcMar>
              <w:top w:type="dxa" w:w="80"/>
              <w:left w:type="dxa" w:w="100"/>
              <w:bottom w:type="dxa" w:w="80"/>
              <w:right w:type="dxa" w:w="100"/>
            </w:tcMar>
          </w:tcPr>
          <w:p>
            <w:pPr>
              <w:jc w:val="left"/>
            </w:pPr>
            <w:r>
              <w:rPr>
                <w:b w:val="false"/>
                <w:bCs w:val="false"/>
              </w:rPr>
              <w:t xml:space="preserve">Fix dewarp scaling + LAB/CLAHE illumination (Gemini #1–#2). Build a 50–100 image labeled eval set (real + synthetic) with ground-truth drug lists in parallel.</w:t>
            </w:r>
          </w:p>
        </w:tc>
        <w:tc>
          <w:tcPr>
            <w:tcW w:type="dxa" w:w="2900"/>
            <w:tcMar>
              <w:top w:type="dxa" w:w="80"/>
              <w:left w:type="dxa" w:w="100"/>
              <w:bottom w:type="dxa" w:w="80"/>
              <w:right w:type="dxa" w:w="100"/>
            </w:tcMar>
          </w:tcPr>
          <w:p>
            <w:pPr>
              <w:jc w:val="left"/>
            </w:pPr>
            <w:r>
              <w:rPr>
                <w:b w:val="false"/>
                <w:bCs w:val="false"/>
              </w:rPr>
              <w:t xml:space="preserve">These are correctness bugs, not judgment calls — fix them first. The eval set costs nothing to start and without it every later change is a guess.</w:t>
            </w:r>
          </w:p>
        </w:tc>
      </w:tr>
      <w:tr>
        <w:tc>
          <w:tcPr>
            <w:tcW w:type="dxa" w:w="1400"/>
            <w:tcMar>
              <w:top w:type="dxa" w:w="80"/>
              <w:left w:type="dxa" w:w="100"/>
              <w:bottom w:type="dxa" w:w="80"/>
              <w:right w:type="dxa" w:w="100"/>
            </w:tcMar>
          </w:tcPr>
          <w:p>
            <w:pPr>
              <w:jc w:val="left"/>
            </w:pPr>
            <w:r>
              <w:rPr>
                <w:b w:val="false"/>
                <w:bCs w:val="false"/>
              </w:rPr>
              <w:t xml:space="preserve">Next</w:t>
            </w:r>
          </w:p>
        </w:tc>
        <w:tc>
          <w:tcPr>
            <w:tcW w:type="dxa" w:w="5300"/>
            <w:tcMar>
              <w:top w:type="dxa" w:w="80"/>
              <w:left w:type="dxa" w:w="100"/>
              <w:bottom w:type="dxa" w:w="80"/>
              <w:right w:type="dxa" w:w="100"/>
            </w:tcMar>
          </w:tcPr>
          <w:p>
            <w:pPr>
              <w:jc w:val="left"/>
            </w:pPr>
            <w:r>
              <w:rPr>
                <w:b w:val="false"/>
                <w:bCs w:val="false"/>
              </w:rPr>
              <w:t xml:space="preserve">Wire up line-slicing (#3). Switch drug matching from "recognize then fuzzy-filter" to "shortlist then VLM-verify." Add a second independent recognizer (even Tesseract/PaddleOCR as a cheap check) so disagreement can gate review.</w:t>
            </w:r>
          </w:p>
        </w:tc>
        <w:tc>
          <w:tcPr>
            <w:tcW w:type="dxa" w:w="2900"/>
            <w:tcMar>
              <w:top w:type="dxa" w:w="80"/>
              <w:left w:type="dxa" w:w="100"/>
              <w:bottom w:type="dxa" w:w="80"/>
              <w:right w:type="dxa" w:w="100"/>
            </w:tcMar>
          </w:tcPr>
          <w:p>
            <w:pPr>
              <w:jc w:val="left"/>
            </w:pPr>
            <w:r>
              <w:rPr>
                <w:b w:val="false"/>
                <w:bCs w:val="false"/>
              </w:rPr>
              <w:t xml:space="preserve">This is where most of the accuracy actually comes from — closed-set verification and ensemble disagreement beat any single-pass open-vocabulary guess.</w:t>
            </w:r>
          </w:p>
        </w:tc>
      </w:tr>
      <w:tr>
        <w:tc>
          <w:tcPr>
            <w:tcW w:type="dxa" w:w="1400"/>
            <w:tcMar>
              <w:top w:type="dxa" w:w="80"/>
              <w:left w:type="dxa" w:w="100"/>
              <w:bottom w:type="dxa" w:w="80"/>
              <w:right w:type="dxa" w:w="100"/>
            </w:tcMar>
          </w:tcPr>
          <w:p>
            <w:pPr>
              <w:jc w:val="left"/>
            </w:pPr>
            <w:r>
              <w:rPr>
                <w:b w:val="false"/>
                <w:bCs w:val="false"/>
              </w:rPr>
              <w:t xml:space="preserve">Stretch</w:t>
            </w:r>
          </w:p>
        </w:tc>
        <w:tc>
          <w:tcPr>
            <w:tcW w:type="dxa" w:w="5300"/>
            <w:tcMar>
              <w:top w:type="dxa" w:w="80"/>
              <w:left w:type="dxa" w:w="100"/>
              <w:bottom w:type="dxa" w:w="80"/>
              <w:right w:type="dxa" w:w="100"/>
            </w:tcMar>
          </w:tcPr>
          <w:p>
            <w:pPr>
              <w:jc w:val="left"/>
            </w:pPr>
            <w:r>
              <w:rPr>
                <w:b w:val="false"/>
                <w:bCs w:val="false"/>
              </w:rPr>
              <w:t xml:space="preserve">Fine-tune a small handwriting model (TrOCR/PaddleOCR) on synthetic + a handful of de-identified real crops. Full Bhashini hook with a validated fallback. Calibrate confidence thresholds against the eval set instead of round numbers.</w:t>
            </w:r>
          </w:p>
        </w:tc>
        <w:tc>
          <w:tcPr>
            <w:tcW w:type="dxa" w:w="2900"/>
            <w:tcMar>
              <w:top w:type="dxa" w:w="80"/>
              <w:left w:type="dxa" w:w="100"/>
              <w:bottom w:type="dxa" w:w="80"/>
              <w:right w:type="dxa" w:w="100"/>
            </w:tcMar>
          </w:tcPr>
          <w:p>
            <w:pPr>
              <w:jc w:val="left"/>
            </w:pPr>
            <w:r>
              <w:rPr>
                <w:b w:val="false"/>
                <w:bCs w:val="false"/>
              </w:rPr>
              <w:t xml:space="preserve">Highest ceiling but needs data and time — worth doing if the timeline allows, and it's also the most convincing thing to show judges, since it's backed by a number you measured yourself.</w:t>
            </w:r>
          </w:p>
        </w:tc>
      </w:tr>
    </w:tbl>
    <w:p>
      <w:pPr>
        <w:spacing w:after="200"/>
      </w:pPr>
    </w:p>
    <w:p>
      <w:pPr>
        <w:pStyle w:val="Heading1"/>
        <w:spacing w:after="160" w:before="320"/>
      </w:pPr>
      <w:r>
        <w:t xml:space="preserve">5. Bottom Line</w:t>
      </w:r>
    </w:p>
    <w:p>
      <w:pPr>
        <w:spacing w:after="140"/>
      </w:pPr>
      <w:r>
        <w:t xml:space="preserve">The Gemini directive is worth implementing — it fixes real bugs and none of it should be reverted. But by itself it plateaus at "cleaner image, smarter filtering." The accuracy ceiling you're actually after comes from three changes on top of it: turning drug-name recognition into shortlist-then-verify instead of generate-then-filter, adding a second independent recognizer so disagreement can gate review, and building the eval set now so every change from here on is measured rather than assumed. If timeline is tight, do those three before the fine-tuning and full Bhashini work — they're cheaper, and they're where most of the accuracy actually lives.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2026-09-19T13:01:01.699Z</dcterms:created>
  <dcterms:modified xsi:type="dcterms:W3CDTF">2026-09-19T13:01:01.711Z</dcterms:modified>
</cp:coreProperties>
</file>

<file path=docProps/custom.xml><?xml version="1.0" encoding="utf-8"?>
<Properties xmlns="http://schemas.openxmlformats.org/officeDocument/2006/custom-properties" xmlns:vt="http://schemas.openxmlformats.org/officeDocument/2006/docPropsVTypes"/>
</file>