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365D"/>
          <w:sz w:val="48"/>
        </w:rPr>
        <w:t>MediKiosk: Engineering Implementation Plan</w:t>
      </w:r>
    </w:p>
    <w:p>
      <w:pPr>
        <w:spacing w:after="280"/>
      </w:pPr>
      <w:r>
        <w:rPr>
          <w:color w:val="2B6CB0"/>
          <w:sz w:val="28"/>
        </w:rPr>
        <w:t>Module B: Medical Document Digitization &amp; Clinical Intelligence Engine</w:t>
      </w:r>
    </w:p>
    <w:p>
      <w:pPr>
        <w:spacing w:after="360"/>
      </w:pPr>
      <w:r>
        <w:rPr>
          <w:color w:val="718096"/>
          <w:sz w:val="19"/>
        </w:rPr>
        <w:t>Target: Maximum Accuracy Medical OCR, Multi-Agent Clinical NLP, ABDM/FHIR R4 Pipeline</w:t>
        <w:br/>
        <w:t>Document Version: 1.0 | Classification: Core Architecture Blueprint</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Mar>
              <w:top w:w="140" w:type="dxa"/>
              <w:bottom w:w="140" w:type="dxa"/>
              <w:left w:w="200" w:type="dxa"/>
              <w:right w:w="180" w:type="dxa"/>
            </w:tcMar>
            <w:tcBorders>
              <w:top w:val="none" w:sz="0" w:space="0" w:color="auto"/>
              <w:left w:val="single" w:sz="24" w:space="0" w:color="2B6CB0"/>
              <w:bottom w:val="none" w:sz="0" w:space="0" w:color="auto"/>
              <w:right w:val="none" w:sz="0" w:space="0" w:color="auto"/>
            </w:tcBorders>
          </w:tcPr>
          <w:p>
            <w:pPr>
              <w:spacing w:after="0" w:line="276" w:lineRule="auto"/>
            </w:pPr>
            <w:r>
              <w:rPr>
                <w:b/>
                <w:color w:val="1A365D"/>
              </w:rPr>
              <w:t xml:space="preserve">Executive Summary: </w:t>
            </w:r>
            <w:r>
              <w:rPr>
                <w:color w:val="2D3748"/>
              </w:rPr>
              <w:t>This master plan provides an end-to-end, implementation-ready architectural roadmap for MediKiosk Module B. It covers high-precision OCR for complex Indian doctor handwriting and vernacular scripts, deterministic clinical entity extraction, chronological timeline reconstruction, automated laboratory out-of-range analysis, multi-drug interaction checking, and ABDM FHIR R4 document bundle packaging.</w:t>
            </w:r>
          </w:p>
        </w:tc>
      </w:tr>
    </w:tbl>
    <w:p>
      <w:pPr>
        <w:spacing w:after="80"/>
      </w:pPr>
    </w:p>
    <w:p>
      <w:pPr>
        <w:keepNext/>
        <w:spacing w:before="360" w:after="120"/>
        <w:pBdr>
          <w:bottom w:val="single" w:sz="8" w:space="4" w:color="1A365D"/>
        </w:pBdr>
      </w:pPr>
      <w:r>
        <w:rPr>
          <w:b/>
          <w:color w:val="1A365D"/>
          <w:sz w:val="32"/>
        </w:rPr>
        <w:t>1. Module B System Architecture &amp; End-to-End Pipeline</w:t>
      </w:r>
    </w:p>
    <w:p>
      <w:r>
        <w:t>Module B serves as MediKiosk's medical ingestion and intelligence engine. Patients arriving at hospital OPDs often present battered, folded physical papers comprising doctor handwritten prescriptions (Rx), multilingual printed diagnostic reports, and discharge summaries. Module B automates the entire ingestion lifecycle, converting unstructured physical documentation into standardized, FHIR-compliant, physician-ready digital intelligence before the patient enters the consultation room.</w:t>
      </w:r>
    </w:p>
    <w:p>
      <w:r>
        <w:t>The technical architecture is divided into seven sequential, loosely coupled microservices:</w:t>
      </w:r>
    </w:p>
    <w:p>
      <w:pPr>
        <w:pStyle w:val="ListBullet"/>
      </w:pPr>
      <w:r>
        <w:rPr>
          <w:b/>
          <w:color w:val="1A365D"/>
        </w:rPr>
        <w:t xml:space="preserve">Stage 1: Document Acquisition &amp; Vision Preprocessing: </w:t>
      </w:r>
      <w:r>
        <w:t>Multi-page camera/flatbed image capture, adaptive perspective dewarping, edge detection, illumination normalization, and shadow elimination via OpenCV.</w:t>
      </w:r>
    </w:p>
    <w:p>
      <w:pPr>
        <w:pStyle w:val="ListBullet"/>
      </w:pPr>
      <w:r>
        <w:rPr>
          <w:b/>
          <w:color w:val="1A365D"/>
        </w:rPr>
        <w:t xml:space="preserve">Stage 2: Document Layout Analysis &amp; Classification (DLA): </w:t>
      </w:r>
      <w:r>
        <w:t>Deep learning-based document zoning using LayoutLMv3 and YOLOv8-Doc to segment prescriptions, tables, doctor notes, and printed headers into discrete bounding boxes.</w:t>
      </w:r>
    </w:p>
    <w:p>
      <w:pPr>
        <w:pStyle w:val="ListBullet"/>
      </w:pPr>
      <w:r>
        <w:rPr>
          <w:b/>
          <w:color w:val="1A365D"/>
        </w:rPr>
        <w:t xml:space="preserve">Stage 3: Hybrid OCR &amp; Vision-Language Extraction: </w:t>
      </w:r>
      <w:r>
        <w:t>Dual-engine routing: high-density printed tables routed to specialized layout engines (Surya/PaddleOCR), while handwritten cursive scripts and mixed vernacular notes are routed to fine-tuned Microsoft TrOCR and Qwen2.5-VL-7B.</w:t>
      </w:r>
    </w:p>
    <w:p>
      <w:pPr>
        <w:pStyle w:val="ListBullet"/>
      </w:pPr>
      <w:r>
        <w:rPr>
          <w:b/>
          <w:color w:val="1A365D"/>
        </w:rPr>
        <w:t xml:space="preserve">Stage 4: Deterministic Post-OCR Normalization &amp; Vernacular Translation: </w:t>
      </w:r>
      <w:r>
        <w:t>Bhashini NMT and Indic-NLP pipelines translate vernacular doctor notes (e.g., Bengali, Hindi) to English. Deterministic fuzzy/Levenshtein matching connects extracted medicine text to national pharmacopeias.</w:t>
      </w:r>
    </w:p>
    <w:p>
      <w:pPr>
        <w:pStyle w:val="ListBullet"/>
      </w:pPr>
      <w:r>
        <w:rPr>
          <w:b/>
          <w:color w:val="1A365D"/>
        </w:rPr>
        <w:t xml:space="preserve">Stage 5: Clinical Entity Extraction &amp; Ontology Mapping: </w:t>
      </w:r>
      <w:r>
        <w:t>Medical NER using specialized clinical LLMs (OpenBioLLM / MedGemma) to parse chief complaints, diagnoses (ICD-10-CM), medications (RxNorm / Indian CDSCO), and lab tests (LOINC).</w:t>
      </w:r>
    </w:p>
    <w:p>
      <w:pPr>
        <w:pStyle w:val="ListBullet"/>
      </w:pPr>
      <w:r>
        <w:rPr>
          <w:b/>
          <w:color w:val="1A365D"/>
        </w:rPr>
        <w:t xml:space="preserve">Stage 6: Clinical Intelligence Engine: </w:t>
      </w:r>
      <w:r>
        <w:t>Automated detection of out-of-range lab markers, multi-drug interaction screening (DDI), contraindication flagging, and chronological timeline generation across multi-year patient records.</w:t>
      </w:r>
    </w:p>
    <w:p>
      <w:pPr>
        <w:pStyle w:val="ListBullet"/>
      </w:pPr>
      <w:r>
        <w:rPr>
          <w:b/>
          <w:color w:val="1A365D"/>
        </w:rPr>
        <w:t xml:space="preserve">Stage 7: ABDM FHIR R4 Bundle Generation &amp; Secure Storage: </w:t>
      </w:r>
      <w:r>
        <w:t>Synthesizing extracted clinical intelligence into standardized FHIR DiagnosticReport, MedicationRequest, and Composition resources, encrypted and linked to the patient's ABHA ID.</w:t>
      </w:r>
    </w:p>
    <w:p>
      <w:pPr>
        <w:keepNext/>
        <w:spacing w:before="360" w:after="120"/>
        <w:pBdr>
          <w:bottom w:val="single" w:sz="8" w:space="4" w:color="1A365D"/>
        </w:pBdr>
      </w:pPr>
      <w:r>
        <w:rPr>
          <w:b/>
          <w:color w:val="1A365D"/>
          <w:sz w:val="32"/>
        </w:rPr>
        <w:t>2. High-Accuracy OCR &amp; Layout Engine (Achieving 90%+ Accuracy)</w:t>
      </w:r>
    </w:p>
    <w:p>
      <w:r>
        <w:t>Achieving production-grade accuracy on Indian clinical documents is severely hampered by cursive doctor degradation, carbon copy smudges, Latin abbreviations ('1+0+1', 'TDS', '1/52'), and bilingual instructions. Standard off-the-shelf OCR engines achieve less than 50% accuracy on this distribution. Module B overcomes this through a multi-tier vision and OCR pipeline.</w:t>
      </w:r>
    </w:p>
    <w:p>
      <w:pPr>
        <w:keepNext/>
        <w:spacing w:before="280" w:after="80"/>
      </w:pPr>
      <w:r>
        <w:rPr>
          <w:b/>
          <w:color w:val="2B6CB0"/>
          <w:sz w:val="26"/>
        </w:rPr>
        <w:t>2.1 Document Ingestion &amp; Image Preprocessing Pipeline</w:t>
      </w:r>
    </w:p>
    <w:p>
      <w:r>
        <w:t>Prior to OCR inference, raw camera/scanner frames undergo five deterministic computer vision operations using OpenCV to maximize text contrast:</w:t>
      </w:r>
    </w:p>
    <w:p>
      <w:pPr>
        <w:pStyle w:val="ListBullet"/>
      </w:pPr>
      <w:r>
        <w:rPr>
          <w:b/>
        </w:rPr>
        <w:t xml:space="preserve">Document Boundary Detection &amp; Perspective Rectification: </w:t>
      </w:r>
      <w:r>
        <w:t>Using Canny edge detection and contour approximation (cv2.findContours), the paper boundary is detected. A four-point perspective transform rectifies skew and perspective distortion caused by angled camera captures.</w:t>
      </w:r>
    </w:p>
    <w:p>
      <w:pPr>
        <w:pStyle w:val="ListBullet"/>
      </w:pPr>
      <w:r>
        <w:rPr>
          <w:b/>
        </w:rPr>
        <w:t xml:space="preserve">Background Illumination Normalization: </w:t>
      </w:r>
      <w:r>
        <w:t>Non-uniform OPD kiosk lighting creates severe shadow gradients. Applying Morphological Opening with a large structuring element estimates background illumination, which is divided out from the grayscale image.</w:t>
      </w:r>
    </w:p>
    <w:p>
      <w:pPr>
        <w:pStyle w:val="ListBullet"/>
      </w:pPr>
      <w:r>
        <w:rPr>
          <w:b/>
        </w:rPr>
        <w:t xml:space="preserve">Adaptive Gaussian Thresholding &amp; Denoising: </w:t>
      </w:r>
      <w:r>
        <w:t>Handwritten ballpoint pen marks frequently fade on printed lines. Fast Non-Local Means Denoising (cv2.fastNlMeansDenoising) paired with Adaptive Gaussian Thresholding isolates ink strokes from background paper grain.</w:t>
      </w:r>
    </w:p>
    <w:p>
      <w:pPr>
        <w:keepNext/>
        <w:spacing w:before="280" w:after="80"/>
      </w:pPr>
      <w:r>
        <w:rPr>
          <w:b/>
          <w:color w:val="2B6CB0"/>
          <w:sz w:val="26"/>
        </w:rPr>
        <w:t>2.2 Dual-Engine Hybrid OCR Strategy</w:t>
      </w:r>
    </w:p>
    <w:tbl>
      <w:tblPr>
        <w:tblW w:type="auto" w:w="0"/>
        <w:jc w:val="center"/>
        <w:tblLook w:firstColumn="1" w:firstRow="1" w:lastColumn="0" w:lastRow="0" w:noHBand="0" w:noVBand="1" w:val="04A0"/>
        <w:tblBorders>
          <w:top w:val="single" w:sz="4" w:space="0" w:color="CBD5E0"/>
          <w:bottom w:val="single" w:sz="6" w:space="0" w:color="1A365D"/>
          <w:left w:val="none" w:sz="0" w:space="0" w:color="auto"/>
          <w:right w:val="none" w:sz="0" w:space="0" w:color="auto"/>
          <w:insideH w:val="single" w:sz="4" w:space="0" w:color="CBD5E0"/>
          <w:insideV w:val="none" w:sz="0" w:space="0" w:color="auto"/>
        </w:tblBorders>
      </w:tblPr>
      <w:tblGrid>
        <w:gridCol w:w="2340"/>
        <w:gridCol w:w="2340"/>
        <w:gridCol w:w="2340"/>
        <w:gridCol w:w="2340"/>
      </w:tblGrid>
      <w:tr>
        <w:tc>
          <w:tcPr>
            <w:tcW w:type="dxa" w:w="2340"/>
            <w:shd w:val="clear" w:color="auto" w:fill="1A365D"/>
            <w:tcMar>
              <w:top w:w="100" w:type="dxa"/>
              <w:bottom w:w="100" w:type="dxa"/>
              <w:left w:w="100" w:type="dxa"/>
              <w:right w:w="100" w:type="dxa"/>
            </w:tcMar>
          </w:tcPr>
          <w:p>
            <w:r>
              <w:rPr>
                <w:b/>
                <w:color w:val="FFFFFF"/>
                <w:sz w:val="20"/>
              </w:rPr>
              <w:t>Document Zone</w:t>
            </w:r>
          </w:p>
        </w:tc>
        <w:tc>
          <w:tcPr>
            <w:tcW w:type="dxa" w:w="2340"/>
            <w:shd w:val="clear" w:color="auto" w:fill="1A365D"/>
            <w:tcMar>
              <w:top w:w="100" w:type="dxa"/>
              <w:bottom w:w="100" w:type="dxa"/>
              <w:left w:w="100" w:type="dxa"/>
              <w:right w:w="100" w:type="dxa"/>
            </w:tcMar>
          </w:tcPr>
          <w:p>
            <w:r>
              <w:rPr>
                <w:b/>
                <w:color w:val="FFFFFF"/>
                <w:sz w:val="20"/>
              </w:rPr>
              <w:t>Primary Engine</w:t>
            </w:r>
          </w:p>
        </w:tc>
        <w:tc>
          <w:tcPr>
            <w:tcW w:type="dxa" w:w="2340"/>
            <w:shd w:val="clear" w:color="auto" w:fill="1A365D"/>
            <w:tcMar>
              <w:top w:w="100" w:type="dxa"/>
              <w:bottom w:w="100" w:type="dxa"/>
              <w:left w:w="100" w:type="dxa"/>
              <w:right w:w="100" w:type="dxa"/>
            </w:tcMar>
          </w:tcPr>
          <w:p>
            <w:r>
              <w:rPr>
                <w:b/>
                <w:color w:val="FFFFFF"/>
                <w:sz w:val="20"/>
              </w:rPr>
              <w:t>Fallback / Validator</w:t>
            </w:r>
          </w:p>
        </w:tc>
        <w:tc>
          <w:tcPr>
            <w:tcW w:type="dxa" w:w="2340"/>
            <w:shd w:val="clear" w:color="auto" w:fill="1A365D"/>
            <w:tcMar>
              <w:top w:w="100" w:type="dxa"/>
              <w:bottom w:w="100" w:type="dxa"/>
              <w:left w:w="100" w:type="dxa"/>
              <w:right w:w="100" w:type="dxa"/>
            </w:tcMar>
          </w:tcPr>
          <w:p>
            <w:r>
              <w:rPr>
                <w:b/>
                <w:color w:val="FFFFFF"/>
                <w:sz w:val="20"/>
              </w:rPr>
              <w:t>Target Accuracy</w:t>
            </w:r>
          </w:p>
        </w:tc>
      </w:tr>
      <w:tr>
        <w:tc>
          <w:tcPr>
            <w:tcW w:type="dxa" w:w="2340"/>
            <w:shd w:val="clear" w:color="auto" w:fill="F7FAFC"/>
            <w:tcMar>
              <w:top w:w="80" w:type="dxa"/>
              <w:bottom w:w="80" w:type="dxa"/>
              <w:left w:w="100" w:type="dxa"/>
              <w:right w:w="100" w:type="dxa"/>
            </w:tcMar>
          </w:tcPr>
          <w:p>
            <w:r>
              <w:rPr>
                <w:b/>
                <w:sz w:val="19"/>
              </w:rPr>
              <w:t>Handwritten Rx Lines &amp; Cursive Notes</w:t>
            </w:r>
          </w:p>
        </w:tc>
        <w:tc>
          <w:tcPr>
            <w:tcW w:type="dxa" w:w="2340"/>
            <w:shd w:val="clear" w:color="auto" w:fill="F7FAFC"/>
            <w:tcMar>
              <w:top w:w="80" w:type="dxa"/>
              <w:bottom w:w="80" w:type="dxa"/>
              <w:left w:w="100" w:type="dxa"/>
              <w:right w:w="100" w:type="dxa"/>
            </w:tcMar>
          </w:tcPr>
          <w:p>
            <w:r>
              <w:rPr>
                <w:sz w:val="19"/>
              </w:rPr>
              <w:t>Microsoft TrOCR (Fine-tuned on Indian Doctor Script)</w:t>
            </w:r>
          </w:p>
        </w:tc>
        <w:tc>
          <w:tcPr>
            <w:tcW w:type="dxa" w:w="2340"/>
            <w:shd w:val="clear" w:color="auto" w:fill="F7FAFC"/>
            <w:tcMar>
              <w:top w:w="80" w:type="dxa"/>
              <w:bottom w:w="80" w:type="dxa"/>
              <w:left w:w="100" w:type="dxa"/>
              <w:right w:w="100" w:type="dxa"/>
            </w:tcMar>
          </w:tcPr>
          <w:p>
            <w:r>
              <w:rPr>
                <w:sz w:val="19"/>
              </w:rPr>
              <w:t>Qwen2.5-VL-7B-Instruct (Zero-shot VLM)</w:t>
            </w:r>
          </w:p>
        </w:tc>
        <w:tc>
          <w:tcPr>
            <w:tcW w:type="dxa" w:w="2340"/>
            <w:shd w:val="clear" w:color="auto" w:fill="F7FAFC"/>
            <w:tcMar>
              <w:top w:w="80" w:type="dxa"/>
              <w:bottom w:w="80" w:type="dxa"/>
              <w:left w:w="100" w:type="dxa"/>
              <w:right w:w="100" w:type="dxa"/>
            </w:tcMar>
          </w:tcPr>
          <w:p>
            <w:r>
              <w:rPr>
                <w:sz w:val="19"/>
              </w:rPr>
              <w:t>88% - 93% (with DB fuzzy match)</w:t>
            </w:r>
          </w:p>
        </w:tc>
      </w:tr>
      <w:tr>
        <w:tc>
          <w:tcPr>
            <w:tcW w:type="dxa" w:w="2340"/>
            <w:shd w:val="clear" w:color="auto" w:fill="FFFFFF"/>
            <w:tcMar>
              <w:top w:w="80" w:type="dxa"/>
              <w:bottom w:w="80" w:type="dxa"/>
              <w:left w:w="100" w:type="dxa"/>
              <w:right w:w="100" w:type="dxa"/>
            </w:tcMar>
          </w:tcPr>
          <w:p>
            <w:r>
              <w:rPr>
                <w:b/>
                <w:sz w:val="19"/>
              </w:rPr>
              <w:t>Diagnostic Lab Tables &amp; Numeric Values</w:t>
            </w:r>
          </w:p>
        </w:tc>
        <w:tc>
          <w:tcPr>
            <w:tcW w:type="dxa" w:w="2340"/>
            <w:shd w:val="clear" w:color="auto" w:fill="FFFFFF"/>
            <w:tcMar>
              <w:top w:w="80" w:type="dxa"/>
              <w:bottom w:w="80" w:type="dxa"/>
              <w:left w:w="100" w:type="dxa"/>
              <w:right w:w="100" w:type="dxa"/>
            </w:tcMar>
          </w:tcPr>
          <w:p>
            <w:r>
              <w:rPr>
                <w:sz w:val="19"/>
              </w:rPr>
              <w:t>PaddleOCR v4 / Surya OCR (Table Structure Recognizer)</w:t>
            </w:r>
          </w:p>
        </w:tc>
        <w:tc>
          <w:tcPr>
            <w:tcW w:type="dxa" w:w="2340"/>
            <w:shd w:val="clear" w:color="auto" w:fill="FFFFFF"/>
            <w:tcMar>
              <w:top w:w="80" w:type="dxa"/>
              <w:bottom w:w="80" w:type="dxa"/>
              <w:left w:w="100" w:type="dxa"/>
              <w:right w:w="100" w:type="dxa"/>
            </w:tcMar>
          </w:tcPr>
          <w:p>
            <w:r>
              <w:rPr>
                <w:sz w:val="19"/>
              </w:rPr>
              <w:t>Tesseract 5.0 (LSTM Engine)</w:t>
            </w:r>
          </w:p>
        </w:tc>
        <w:tc>
          <w:tcPr>
            <w:tcW w:type="dxa" w:w="2340"/>
            <w:shd w:val="clear" w:color="auto" w:fill="FFFFFF"/>
            <w:tcMar>
              <w:top w:w="80" w:type="dxa"/>
              <w:bottom w:w="80" w:type="dxa"/>
              <w:left w:w="100" w:type="dxa"/>
              <w:right w:w="100" w:type="dxa"/>
            </w:tcMar>
          </w:tcPr>
          <w:p>
            <w:r>
              <w:rPr>
                <w:sz w:val="19"/>
              </w:rPr>
              <w:t>98.5% Cell Accuracy</w:t>
            </w:r>
          </w:p>
        </w:tc>
      </w:tr>
      <w:tr>
        <w:tc>
          <w:tcPr>
            <w:tcW w:type="dxa" w:w="2340"/>
            <w:shd w:val="clear" w:color="auto" w:fill="F7FAFC"/>
            <w:tcMar>
              <w:top w:w="80" w:type="dxa"/>
              <w:bottom w:w="80" w:type="dxa"/>
              <w:left w:w="100" w:type="dxa"/>
              <w:right w:w="100" w:type="dxa"/>
            </w:tcMar>
          </w:tcPr>
          <w:p>
            <w:r>
              <w:rPr>
                <w:b/>
                <w:sz w:val="19"/>
              </w:rPr>
              <w:t>Discharge Summaries (Printed Text)</w:t>
            </w:r>
          </w:p>
        </w:tc>
        <w:tc>
          <w:tcPr>
            <w:tcW w:type="dxa" w:w="2340"/>
            <w:shd w:val="clear" w:color="auto" w:fill="F7FAFC"/>
            <w:tcMar>
              <w:top w:w="80" w:type="dxa"/>
              <w:bottom w:w="80" w:type="dxa"/>
              <w:left w:w="100" w:type="dxa"/>
              <w:right w:w="100" w:type="dxa"/>
            </w:tcMar>
          </w:tcPr>
          <w:p>
            <w:r>
              <w:rPr>
                <w:sz w:val="19"/>
              </w:rPr>
              <w:t>LayoutLMv3 (Form/Document Parser)</w:t>
            </w:r>
          </w:p>
        </w:tc>
        <w:tc>
          <w:tcPr>
            <w:tcW w:type="dxa" w:w="2340"/>
            <w:shd w:val="clear" w:color="auto" w:fill="F7FAFC"/>
            <w:tcMar>
              <w:top w:w="80" w:type="dxa"/>
              <w:bottom w:w="80" w:type="dxa"/>
              <w:left w:w="100" w:type="dxa"/>
              <w:right w:w="100" w:type="dxa"/>
            </w:tcMar>
          </w:tcPr>
          <w:p>
            <w:r>
              <w:rPr>
                <w:sz w:val="19"/>
              </w:rPr>
              <w:t>PaddleOCR Document Pipeline</w:t>
            </w:r>
          </w:p>
        </w:tc>
        <w:tc>
          <w:tcPr>
            <w:tcW w:type="dxa" w:w="2340"/>
            <w:shd w:val="clear" w:color="auto" w:fill="F7FAFC"/>
            <w:tcMar>
              <w:top w:w="80" w:type="dxa"/>
              <w:bottom w:w="80" w:type="dxa"/>
              <w:left w:w="100" w:type="dxa"/>
              <w:right w:w="100" w:type="dxa"/>
            </w:tcMar>
          </w:tcPr>
          <w:p>
            <w:r>
              <w:rPr>
                <w:sz w:val="19"/>
              </w:rPr>
              <w:t>97% - 99% Exact Word Match</w:t>
            </w:r>
          </w:p>
        </w:tc>
      </w:tr>
      <w:tr>
        <w:tc>
          <w:tcPr>
            <w:tcW w:type="dxa" w:w="2340"/>
            <w:shd w:val="clear" w:color="auto" w:fill="FFFFFF"/>
            <w:tcMar>
              <w:top w:w="80" w:type="dxa"/>
              <w:bottom w:w="80" w:type="dxa"/>
              <w:left w:w="100" w:type="dxa"/>
              <w:right w:w="100" w:type="dxa"/>
            </w:tcMar>
          </w:tcPr>
          <w:p>
            <w:r>
              <w:rPr>
                <w:b/>
                <w:sz w:val="19"/>
              </w:rPr>
              <w:t>Regional / Vernacular Annotations</w:t>
            </w:r>
          </w:p>
        </w:tc>
        <w:tc>
          <w:tcPr>
            <w:tcW w:type="dxa" w:w="2340"/>
            <w:shd w:val="clear" w:color="auto" w:fill="FFFFFF"/>
            <w:tcMar>
              <w:top w:w="80" w:type="dxa"/>
              <w:bottom w:w="80" w:type="dxa"/>
              <w:left w:w="100" w:type="dxa"/>
              <w:right w:w="100" w:type="dxa"/>
            </w:tcMar>
          </w:tcPr>
          <w:p>
            <w:r>
              <w:rPr>
                <w:sz w:val="19"/>
              </w:rPr>
              <w:t>Bhashini Document OCR API (Bhashini AI)</w:t>
            </w:r>
          </w:p>
        </w:tc>
        <w:tc>
          <w:tcPr>
            <w:tcW w:type="dxa" w:w="2340"/>
            <w:shd w:val="clear" w:color="auto" w:fill="FFFFFF"/>
            <w:tcMar>
              <w:top w:w="80" w:type="dxa"/>
              <w:bottom w:w="80" w:type="dxa"/>
              <w:left w:w="100" w:type="dxa"/>
              <w:right w:w="100" w:type="dxa"/>
            </w:tcMar>
          </w:tcPr>
          <w:p>
            <w:r>
              <w:rPr>
                <w:sz w:val="19"/>
              </w:rPr>
              <w:t>Indic-OCR / TrOCR Indic fine-tune</w:t>
            </w:r>
          </w:p>
        </w:tc>
        <w:tc>
          <w:tcPr>
            <w:tcW w:type="dxa" w:w="2340"/>
            <w:shd w:val="clear" w:color="auto" w:fill="FFFFFF"/>
            <w:tcMar>
              <w:top w:w="80" w:type="dxa"/>
              <w:bottom w:w="80" w:type="dxa"/>
              <w:left w:w="100" w:type="dxa"/>
              <w:right w:w="100" w:type="dxa"/>
            </w:tcMar>
          </w:tcPr>
          <w:p>
            <w:r>
              <w:rPr>
                <w:sz w:val="19"/>
              </w:rPr>
              <w:t>92% Script Recognition</w:t>
            </w:r>
          </w:p>
        </w:tc>
      </w:tr>
    </w:tbl>
    <w:p>
      <w:pPr>
        <w:spacing w:after="80"/>
      </w:pPr>
    </w:p>
    <w:p>
      <w:pPr>
        <w:keepNext/>
        <w:spacing w:before="360" w:after="120"/>
        <w:pBdr>
          <w:bottom w:val="single" w:sz="8" w:space="4" w:color="1A365D"/>
        </w:pBdr>
      </w:pPr>
      <w:r>
        <w:rPr>
          <w:b/>
          <w:color w:val="1A365D"/>
          <w:sz w:val="32"/>
        </w:rPr>
        <w:t>3. Regional Pharmacopeia Grounding &amp; Vernacular Pipeline</w:t>
      </w:r>
    </w:p>
    <w:p>
      <w:r>
        <w:t>Prescription interpretation in Indian healthcare environments cannot rely exclusively on Western dictionaries (such as US-centric RxNorm). As proven in the benchmark case study of Dr. S. K. M. Joynal Abedin's prescription, local doctor handwriting blends regional brand names (e.g., 'Ultrafen Plus', 'Progut', 'Relentus', 'Cartilix') with vernacular dosage instructions (Bengali: 'খাওয়ার পর' / 'খাওয়ার আগে').</w:t>
      </w:r>
    </w:p>
    <w:p>
      <w:pPr>
        <w:keepNext/>
        <w:spacing w:before="280" w:after="80"/>
      </w:pPr>
      <w:r>
        <w:rPr>
          <w:b/>
          <w:color w:val="2B6CB0"/>
          <w:sz w:val="26"/>
        </w:rPr>
        <w:t>3.1 Deterministic Pharmaceutical Database Normalization</w:t>
      </w:r>
    </w:p>
    <w:p>
      <w:r>
        <w:t>To eliminate AI hallucinations in drug identification, raw OCR character sequences are validated against a triple-layered drug registry:</w:t>
      </w:r>
    </w:p>
    <w:p>
      <w:pPr>
        <w:pStyle w:val="ListBullet"/>
      </w:pPr>
      <w:r>
        <w:rPr>
          <w:b/>
        </w:rPr>
        <w:t xml:space="preserve">CDSCO / Indian National Formulary (INF) Master: </w:t>
      </w:r>
      <w:r>
        <w:t>Local trade brands and generic formulations marketed in South Asia. Resolves brand names directly to active pharmaceutical ingredients (APIs). Example: 'Ultrafen Plus' -&gt; Diclofenac Sodium (50mg) + Paracetamol (325mg/500mg).</w:t>
      </w:r>
    </w:p>
    <w:p>
      <w:pPr>
        <w:pStyle w:val="ListBullet"/>
      </w:pPr>
      <w:r>
        <w:rPr>
          <w:b/>
        </w:rPr>
        <w:t xml:space="preserve">NIH RxNorm REST API: </w:t>
      </w:r>
      <w:r>
        <w:t>For standardized international chemical entity normalization, establishing global RxCUI identifiers for FHIR compatibility.</w:t>
      </w:r>
    </w:p>
    <w:p>
      <w:pPr>
        <w:pStyle w:val="ListBullet"/>
      </w:pPr>
      <w:r>
        <w:rPr>
          <w:b/>
        </w:rPr>
        <w:t xml:space="preserve">Fuzzy Levenshtein Distance &amp; Phonetic Metaphone Matching: </w:t>
      </w:r>
      <w:r>
        <w:t>Handles handwriting OCR character transposition (e.g., 'Augnentin' -&gt; 'Augmentin'; 'Diclofenac' -&gt; 'Diclofenac'). A confidence score threshold (T &gt;= 0.85) auto-accepts matches; matches between 0.65 and 0.84 trigger verification prompts.</w:t>
      </w:r>
    </w:p>
    <w:p>
      <w:pPr>
        <w:keepNext/>
        <w:spacing w:before="280" w:after="80"/>
      </w:pPr>
      <w:r>
        <w:rPr>
          <w:b/>
          <w:color w:val="2B6CB0"/>
          <w:sz w:val="26"/>
        </w:rPr>
        <w:t>3.2 Bhashini Integration for Vernacular Transcription &amp; Translation</w:t>
      </w:r>
    </w:p>
    <w:p>
      <w:r>
        <w:t>Module B connects directly to the Government of India's Bhashini ULCA (Universal Language Contribution API) gateway to bridge the vernacular gap:</w:t>
      </w:r>
    </w:p>
    <w:p>
      <w:pPr>
        <w:pStyle w:val="ListBullet"/>
      </w:pPr>
      <w:r>
        <w:rPr>
          <w:b/>
        </w:rPr>
        <w:t xml:space="preserve">Regional Script Extraction: </w:t>
      </w:r>
      <w:r>
        <w:t>Prescription margins and patient instructions written in Indian scripts (Bengali, Devanagari, Tamil, etc.) are segmented and processed via Bhashini Indic-OCR models.</w:t>
      </w:r>
    </w:p>
    <w:p>
      <w:pPr>
        <w:pStyle w:val="ListBullet"/>
      </w:pPr>
      <w:r>
        <w:rPr>
          <w:b/>
        </w:rPr>
        <w:t xml:space="preserve">Neural Machine Translation (NMT): </w:t>
      </w:r>
      <w:r>
        <w:t>Vernacular dosage instructions are translated to standardized English clinical syntax (e.g., '১+০+১ খাওয়ার পর' -&gt; '1-0-1 After Meals'; 'খাওয়ার আগে' -&gt; 'Before Meals').</w:t>
      </w:r>
    </w:p>
    <w:p>
      <w:pPr>
        <w:pStyle w:val="ListBullet"/>
      </w:pPr>
      <w:r>
        <w:rPr>
          <w:b/>
        </w:rPr>
        <w:t xml:space="preserve">Text-to-Speech (TTS) Confirmation: </w:t>
      </w:r>
      <w:r>
        <w:t>During patient review at the kiosk, translated and verified medication schedules can be vocalized back to the patient in their native tongue to ensure complete comprehension.</w:t>
      </w:r>
    </w:p>
    <w:p>
      <w:pPr>
        <w:keepNext/>
        <w:spacing w:before="360" w:after="120"/>
        <w:pBdr>
          <w:bottom w:val="single" w:sz="8" w:space="4" w:color="1A365D"/>
        </w:pBdr>
      </w:pPr>
      <w:r>
        <w:rPr>
          <w:b/>
          <w:color w:val="1A365D"/>
          <w:sz w:val="32"/>
        </w:rPr>
        <w:t>4. Clinical Entity Extraction &amp; Ontology Mapping (Stage 5)</w:t>
      </w:r>
    </w:p>
    <w:p>
      <w:r>
        <w:t>Once OCR text and tables are digitized, a high-throughput medical reasoning model (OpenBioLLM-8B / MedGemma-4B) extracts clinical entities into structured Pydantic schemas, mapping them against global and national terminologies.</w:t>
      </w:r>
    </w:p>
    <w:tbl>
      <w:tblPr>
        <w:tblW w:type="auto" w:w="0"/>
        <w:jc w:val="center"/>
        <w:tblLook w:firstColumn="1" w:firstRow="1" w:lastColumn="0" w:lastRow="0" w:noHBand="0" w:noVBand="1" w:val="04A0"/>
        <w:tblBorders>
          <w:top w:val="single" w:sz="4" w:space="0" w:color="CBD5E0"/>
          <w:bottom w:val="single" w:sz="6" w:space="0" w:color="1A365D"/>
          <w:left w:val="none" w:sz="0" w:space="0" w:color="auto"/>
          <w:right w:val="none" w:sz="0" w:space="0" w:color="auto"/>
          <w:insideH w:val="single" w:sz="4" w:space="0" w:color="CBD5E0"/>
          <w:insideV w:val="none" w:sz="0" w:space="0" w:color="auto"/>
        </w:tblBorders>
      </w:tblPr>
      <w:tblGrid>
        <w:gridCol w:w="3120"/>
        <w:gridCol w:w="3120"/>
        <w:gridCol w:w="3120"/>
      </w:tblGrid>
      <w:tr>
        <w:tc>
          <w:tcPr>
            <w:tcW w:type="dxa" w:w="3120"/>
            <w:shd w:val="clear" w:color="auto" w:fill="1A365D"/>
            <w:tcMar>
              <w:top w:w="100" w:type="dxa"/>
              <w:bottom w:w="100" w:type="dxa"/>
              <w:left w:w="100" w:type="dxa"/>
              <w:right w:w="100" w:type="dxa"/>
            </w:tcMar>
          </w:tcPr>
          <w:p>
            <w:r>
              <w:rPr>
                <w:b/>
                <w:color w:val="FFFFFF"/>
                <w:sz w:val="20"/>
              </w:rPr>
              <w:t>Clinical Entity Type</w:t>
            </w:r>
          </w:p>
        </w:tc>
        <w:tc>
          <w:tcPr>
            <w:tcW w:type="dxa" w:w="3120"/>
            <w:shd w:val="clear" w:color="auto" w:fill="1A365D"/>
            <w:tcMar>
              <w:top w:w="100" w:type="dxa"/>
              <w:bottom w:w="100" w:type="dxa"/>
              <w:left w:w="100" w:type="dxa"/>
              <w:right w:w="100" w:type="dxa"/>
            </w:tcMar>
          </w:tcPr>
          <w:p>
            <w:r>
              <w:rPr>
                <w:b/>
                <w:color w:val="FFFFFF"/>
                <w:sz w:val="20"/>
              </w:rPr>
              <w:t>Extracted Attributes</w:t>
            </w:r>
          </w:p>
        </w:tc>
        <w:tc>
          <w:tcPr>
            <w:tcW w:type="dxa" w:w="3120"/>
            <w:shd w:val="clear" w:color="auto" w:fill="1A365D"/>
            <w:tcMar>
              <w:top w:w="100" w:type="dxa"/>
              <w:bottom w:w="100" w:type="dxa"/>
              <w:left w:w="100" w:type="dxa"/>
              <w:right w:w="100" w:type="dxa"/>
            </w:tcMar>
          </w:tcPr>
          <w:p>
            <w:r>
              <w:rPr>
                <w:b/>
                <w:color w:val="FFFFFF"/>
                <w:sz w:val="20"/>
              </w:rPr>
              <w:t>Standard Ontology Target</w:t>
            </w:r>
          </w:p>
        </w:tc>
      </w:tr>
      <w:tr>
        <w:tc>
          <w:tcPr>
            <w:tcW w:type="dxa" w:w="3120"/>
            <w:shd w:val="clear" w:color="auto" w:fill="F7FAFC"/>
            <w:tcMar>
              <w:top w:w="80" w:type="dxa"/>
              <w:bottom w:w="80" w:type="dxa"/>
              <w:left w:w="100" w:type="dxa"/>
              <w:right w:w="100" w:type="dxa"/>
            </w:tcMar>
          </w:tcPr>
          <w:p>
            <w:r>
              <w:rPr>
                <w:b/>
                <w:sz w:val="19"/>
              </w:rPr>
              <w:t>Medication Order</w:t>
            </w:r>
          </w:p>
        </w:tc>
        <w:tc>
          <w:tcPr>
            <w:tcW w:type="dxa" w:w="3120"/>
            <w:shd w:val="clear" w:color="auto" w:fill="F7FAFC"/>
            <w:tcMar>
              <w:top w:w="80" w:type="dxa"/>
              <w:bottom w:w="80" w:type="dxa"/>
              <w:left w:w="100" w:type="dxa"/>
              <w:right w:w="100" w:type="dxa"/>
            </w:tcMar>
          </w:tcPr>
          <w:p>
            <w:r>
              <w:rPr>
                <w:sz w:val="19"/>
              </w:rPr>
              <w:t>Brand name, Generic chemical, Form (Tab/Cap/Syr), Strength, Dosage, Route, Frequency (BD/TDS), Duration (7/52, 10 days), Food relation</w:t>
            </w:r>
          </w:p>
        </w:tc>
        <w:tc>
          <w:tcPr>
            <w:tcW w:type="dxa" w:w="3120"/>
            <w:shd w:val="clear" w:color="auto" w:fill="F7FAFC"/>
            <w:tcMar>
              <w:top w:w="80" w:type="dxa"/>
              <w:bottom w:w="80" w:type="dxa"/>
              <w:left w:w="100" w:type="dxa"/>
              <w:right w:w="100" w:type="dxa"/>
            </w:tcMar>
          </w:tcPr>
          <w:p>
            <w:r>
              <w:rPr>
                <w:sz w:val="19"/>
              </w:rPr>
              <w:t>RxNorm / CDSCO / SNOMED CT</w:t>
            </w:r>
          </w:p>
        </w:tc>
      </w:tr>
      <w:tr>
        <w:tc>
          <w:tcPr>
            <w:tcW w:type="dxa" w:w="3120"/>
            <w:shd w:val="clear" w:color="auto" w:fill="FFFFFF"/>
            <w:tcMar>
              <w:top w:w="80" w:type="dxa"/>
              <w:bottom w:w="80" w:type="dxa"/>
              <w:left w:w="100" w:type="dxa"/>
              <w:right w:w="100" w:type="dxa"/>
            </w:tcMar>
          </w:tcPr>
          <w:p>
            <w:r>
              <w:rPr>
                <w:b/>
                <w:sz w:val="19"/>
              </w:rPr>
              <w:t>Diagnostic Lab Result</w:t>
            </w:r>
          </w:p>
        </w:tc>
        <w:tc>
          <w:tcPr>
            <w:tcW w:type="dxa" w:w="3120"/>
            <w:shd w:val="clear" w:color="auto" w:fill="FFFFFF"/>
            <w:tcMar>
              <w:top w:w="80" w:type="dxa"/>
              <w:bottom w:w="80" w:type="dxa"/>
              <w:left w:w="100" w:type="dxa"/>
              <w:right w:w="100" w:type="dxa"/>
            </w:tcMar>
          </w:tcPr>
          <w:p>
            <w:r>
              <w:rPr>
                <w:sz w:val="19"/>
              </w:rPr>
              <w:t>Test panel, Individual analyte, Quantitative value, Unit of measurement, Reference interval, Out-of-range flag</w:t>
            </w:r>
          </w:p>
        </w:tc>
        <w:tc>
          <w:tcPr>
            <w:tcW w:type="dxa" w:w="3120"/>
            <w:shd w:val="clear" w:color="auto" w:fill="FFFFFF"/>
            <w:tcMar>
              <w:top w:w="80" w:type="dxa"/>
              <w:bottom w:w="80" w:type="dxa"/>
              <w:left w:w="100" w:type="dxa"/>
              <w:right w:w="100" w:type="dxa"/>
            </w:tcMar>
          </w:tcPr>
          <w:p>
            <w:r>
              <w:rPr>
                <w:sz w:val="19"/>
              </w:rPr>
              <w:t>LOINC (Logical Observation Identifiers)</w:t>
            </w:r>
          </w:p>
        </w:tc>
      </w:tr>
      <w:tr>
        <w:tc>
          <w:tcPr>
            <w:tcW w:type="dxa" w:w="3120"/>
            <w:shd w:val="clear" w:color="auto" w:fill="F7FAFC"/>
            <w:tcMar>
              <w:top w:w="80" w:type="dxa"/>
              <w:bottom w:w="80" w:type="dxa"/>
              <w:left w:w="100" w:type="dxa"/>
              <w:right w:w="100" w:type="dxa"/>
            </w:tcMar>
          </w:tcPr>
          <w:p>
            <w:r>
              <w:rPr>
                <w:b/>
                <w:sz w:val="19"/>
              </w:rPr>
              <w:t>Provisional / Final Diagnosis</w:t>
            </w:r>
          </w:p>
        </w:tc>
        <w:tc>
          <w:tcPr>
            <w:tcW w:type="dxa" w:w="3120"/>
            <w:shd w:val="clear" w:color="auto" w:fill="F7FAFC"/>
            <w:tcMar>
              <w:top w:w="80" w:type="dxa"/>
              <w:bottom w:w="80" w:type="dxa"/>
              <w:left w:w="100" w:type="dxa"/>
              <w:right w:w="100" w:type="dxa"/>
            </w:tcMar>
          </w:tcPr>
          <w:p>
            <w:r>
              <w:rPr>
                <w:sz w:val="19"/>
              </w:rPr>
              <w:t>Stated diagnosis, Clinical signs, Anatomical site (Right knee, Left eye), Chronicity (acute vs chronic)</w:t>
            </w:r>
          </w:p>
        </w:tc>
        <w:tc>
          <w:tcPr>
            <w:tcW w:type="dxa" w:w="3120"/>
            <w:shd w:val="clear" w:color="auto" w:fill="F7FAFC"/>
            <w:tcMar>
              <w:top w:w="80" w:type="dxa"/>
              <w:bottom w:w="80" w:type="dxa"/>
              <w:left w:w="100" w:type="dxa"/>
              <w:right w:w="100" w:type="dxa"/>
            </w:tcMar>
          </w:tcPr>
          <w:p>
            <w:r>
              <w:rPr>
                <w:sz w:val="19"/>
              </w:rPr>
              <w:t>ICD-10-CM / SNOMED CT</w:t>
            </w:r>
          </w:p>
        </w:tc>
      </w:tr>
      <w:tr>
        <w:tc>
          <w:tcPr>
            <w:tcW w:type="dxa" w:w="3120"/>
            <w:shd w:val="clear" w:color="auto" w:fill="FFFFFF"/>
            <w:tcMar>
              <w:top w:w="80" w:type="dxa"/>
              <w:bottom w:w="80" w:type="dxa"/>
              <w:left w:w="100" w:type="dxa"/>
              <w:right w:w="100" w:type="dxa"/>
            </w:tcMar>
          </w:tcPr>
          <w:p>
            <w:r>
              <w:rPr>
                <w:b/>
                <w:sz w:val="19"/>
              </w:rPr>
              <w:t>Surgical / Procedure History</w:t>
            </w:r>
          </w:p>
        </w:tc>
        <w:tc>
          <w:tcPr>
            <w:tcW w:type="dxa" w:w="3120"/>
            <w:shd w:val="clear" w:color="auto" w:fill="FFFFFF"/>
            <w:tcMar>
              <w:top w:w="80" w:type="dxa"/>
              <w:bottom w:w="80" w:type="dxa"/>
              <w:left w:w="100" w:type="dxa"/>
              <w:right w:w="100" w:type="dxa"/>
            </w:tcMar>
          </w:tcPr>
          <w:p>
            <w:r>
              <w:rPr>
                <w:sz w:val="19"/>
              </w:rPr>
              <w:t>Procedure name, Modality (X-Ray, MRI, Arthroscopy), Date performed, Anatomical location</w:t>
            </w:r>
          </w:p>
        </w:tc>
        <w:tc>
          <w:tcPr>
            <w:tcW w:type="dxa" w:w="3120"/>
            <w:shd w:val="clear" w:color="auto" w:fill="FFFFFF"/>
            <w:tcMar>
              <w:top w:w="80" w:type="dxa"/>
              <w:bottom w:w="80" w:type="dxa"/>
              <w:left w:w="100" w:type="dxa"/>
              <w:right w:w="100" w:type="dxa"/>
            </w:tcMar>
          </w:tcPr>
          <w:p>
            <w:r>
              <w:rPr>
                <w:sz w:val="19"/>
              </w:rPr>
              <w:t>SNOMED CT / CPT</w:t>
            </w:r>
          </w:p>
        </w:tc>
      </w:tr>
      <w:tr>
        <w:tc>
          <w:tcPr>
            <w:tcW w:type="dxa" w:w="3120"/>
            <w:shd w:val="clear" w:color="auto" w:fill="F7FAFC"/>
            <w:tcMar>
              <w:top w:w="80" w:type="dxa"/>
              <w:bottom w:w="80" w:type="dxa"/>
              <w:left w:w="100" w:type="dxa"/>
              <w:right w:w="100" w:type="dxa"/>
            </w:tcMar>
          </w:tcPr>
          <w:p>
            <w:r>
              <w:rPr>
                <w:b/>
                <w:sz w:val="19"/>
              </w:rPr>
              <w:t>AYUSH / Ayurvedic Parameters</w:t>
            </w:r>
          </w:p>
        </w:tc>
        <w:tc>
          <w:tcPr>
            <w:tcW w:type="dxa" w:w="3120"/>
            <w:shd w:val="clear" w:color="auto" w:fill="F7FAFC"/>
            <w:tcMar>
              <w:top w:w="80" w:type="dxa"/>
              <w:bottom w:w="80" w:type="dxa"/>
              <w:left w:w="100" w:type="dxa"/>
              <w:right w:w="100" w:type="dxa"/>
            </w:tcMar>
          </w:tcPr>
          <w:p>
            <w:r>
              <w:rPr>
                <w:sz w:val="19"/>
              </w:rPr>
              <w:t>Prakriti/Vikriti notes, Agni capacity, Koshtha nature, Ayurvedic formulation names (Kashayam, Bhasma, Asava)</w:t>
            </w:r>
          </w:p>
        </w:tc>
        <w:tc>
          <w:tcPr>
            <w:tcW w:type="dxa" w:w="3120"/>
            <w:shd w:val="clear" w:color="auto" w:fill="F7FAFC"/>
            <w:tcMar>
              <w:top w:w="80" w:type="dxa"/>
              <w:bottom w:w="80" w:type="dxa"/>
              <w:left w:w="100" w:type="dxa"/>
              <w:right w:w="100" w:type="dxa"/>
            </w:tcMar>
          </w:tcPr>
          <w:p>
            <w:r>
              <w:rPr>
                <w:sz w:val="19"/>
              </w:rPr>
              <w:t>NAMASTE Portal / AYUSH SNOMED Extension</w:t>
            </w:r>
          </w:p>
        </w:tc>
      </w:tr>
    </w:tbl>
    <w:p>
      <w:pPr>
        <w:spacing w:after="80"/>
      </w:pPr>
    </w:p>
    <w:p>
      <w:pPr>
        <w:keepNext/>
        <w:spacing w:before="360" w:after="120"/>
        <w:pBdr>
          <w:bottom w:val="single" w:sz="8" w:space="4" w:color="1A365D"/>
        </w:pBdr>
      </w:pPr>
      <w:r>
        <w:rPr>
          <w:b/>
          <w:color w:val="1A365D"/>
          <w:sz w:val="32"/>
        </w:rPr>
        <w:t>5. Clinical Intelligence: Lab Out-of-Range &amp; Drug Interaction Engine</w:t>
      </w:r>
    </w:p>
    <w:p>
      <w:r>
        <w:t>Digitization alone is insufficient for a clinical intake kiosk. Module B integrates an autonomous clinical reasoning layer that actively highlights medical risks for the physician.</w:t>
      </w:r>
    </w:p>
    <w:p>
      <w:pPr>
        <w:keepNext/>
        <w:spacing w:before="280" w:after="80"/>
      </w:pPr>
      <w:r>
        <w:rPr>
          <w:b/>
          <w:color w:val="2B6CB0"/>
          <w:sz w:val="26"/>
        </w:rPr>
        <w:t>5.1 Automated Lab Out-of-Range Highlighting</w:t>
      </w:r>
    </w:p>
    <w:p>
      <w:r>
        <w:t>For all extracted diagnostic panels (Complete Blood Count, Liver Function Tests, Renal Function Panels, Lipid Profiles), numerical values are parsed and cross-referenced against age- and gender-adjusted physiological reference ranges:</w:t>
      </w:r>
    </w:p>
    <w:p>
      <w:pPr>
        <w:pStyle w:val="ListBullet"/>
      </w:pPr>
      <w:r>
        <w:rPr>
          <w:b/>
        </w:rPr>
        <w:t xml:space="preserve">Quantitative Value Parsing: </w:t>
      </w:r>
      <w:r>
        <w:t>Extracts absolute numeric values, handles qualifiers (e.g., '&gt; 1000', '&lt; 0.05'), and normalizes disparate units (e.g., converting mg/dL to mmol/L).</w:t>
      </w:r>
    </w:p>
    <w:p>
      <w:pPr>
        <w:pStyle w:val="ListBullet"/>
      </w:pPr>
      <w:r>
        <w:rPr>
          <w:b/>
        </w:rPr>
        <w:t xml:space="preserve">Three-Tier Severity Classification: </w:t>
      </w:r>
      <w:r>
        <w:t>Values are classified as NORMAL (within bounds), ABNORMAL (out of range, highlighted in amber), or CRITICAL / PANIC (severe physiological deviation, highlighted in bold red with an alert icon).</w:t>
      </w:r>
    </w:p>
    <w:p>
      <w:pPr>
        <w:pStyle w:val="ListBullet"/>
      </w:pPr>
      <w:r>
        <w:rPr>
          <w:b/>
        </w:rPr>
        <w:t xml:space="preserve">Historical Trend Analysis: </w:t>
      </w:r>
      <w:r>
        <w:t>When multiple longitudinal lab reports exist across different dates, the engine computes delta percentages and generates an inline sparkline trend for the physician's screen.</w:t>
      </w:r>
    </w:p>
    <w:p>
      <w:pPr>
        <w:keepNext/>
        <w:spacing w:before="280" w:after="80"/>
      </w:pPr>
      <w:r>
        <w:rPr>
          <w:b/>
          <w:color w:val="2B6CB0"/>
          <w:sz w:val="26"/>
        </w:rPr>
        <w:t>5.2 Pharmacological Safety &amp; Drug-Drug Interaction (DDI) Engine</w:t>
      </w:r>
    </w:p>
    <w:p>
      <w:r>
        <w:t>Extracted prescriptions are analyzed against clinical pharmacology safety matrices before being finalized into the clinical summary:</w:t>
      </w:r>
    </w:p>
    <w:p>
      <w:pPr>
        <w:pStyle w:val="ListBullet"/>
      </w:pPr>
      <w:r>
        <w:rPr>
          <w:b/>
        </w:rPr>
        <w:t xml:space="preserve">NSAID + Gastric Protection Co-prescribing Audit: </w:t>
      </w:r>
      <w:r>
        <w:t>Whenever systemic NSAIDs (e.g., Diclofenac, Ibuprofen) are identified, the system audits for the presence of a Proton Pump Inhibitor (PPI, such as Omeprazole or Pantoprazole). If missing, an advisory alert is generated.</w:t>
      </w:r>
    </w:p>
    <w:p>
      <w:pPr>
        <w:pStyle w:val="ListBullet"/>
      </w:pPr>
      <w:r>
        <w:rPr>
          <w:b/>
        </w:rPr>
        <w:t xml:space="preserve">Duplicate Active Class Therapy: </w:t>
      </w:r>
      <w:r>
        <w:t>Flags dangerous therapeutic redundancies, such as co-prescribing two distinct NSAIDs simultaneously (e.g., Tab Ultrafen + Tab Ibuprofen).</w:t>
      </w:r>
    </w:p>
    <w:p>
      <w:pPr>
        <w:pStyle w:val="ListBullet"/>
      </w:pPr>
      <w:r>
        <w:rPr>
          <w:b/>
        </w:rPr>
        <w:t xml:space="preserve">Drug-Drug Interaction Matrix: </w:t>
      </w:r>
      <w:r>
        <w:t>Evaluates cross-interactions (e.g., Tetracycline co-administered with polyvalent antacids/calcium supplements causing chelation and antibiotic inactivation).</w:t>
      </w:r>
    </w:p>
    <w:p>
      <w:pPr>
        <w:pStyle w:val="ListBullet"/>
      </w:pPr>
      <w:r>
        <w:rPr>
          <w:b/>
        </w:rPr>
        <w:t xml:space="preserve">Adult Dosage Ceiling Check: </w:t>
      </w:r>
      <w:r>
        <w:t>Verifies that total daily dose does not breach maximum established clinical thresholds (e.g., Paracetamol &lt;= 4,000 mg/day; Ibuprofen &lt;= 2,400 mg/day).</w:t>
      </w:r>
    </w:p>
    <w:p>
      <w:pPr>
        <w:keepNext/>
        <w:spacing w:before="360" w:after="120"/>
        <w:pBdr>
          <w:bottom w:val="single" w:sz="8" w:space="4" w:color="1A365D"/>
        </w:pBdr>
      </w:pPr>
      <w:r>
        <w:rPr>
          <w:b/>
          <w:color w:val="1A365D"/>
          <w:sz w:val="32"/>
        </w:rPr>
        <w:t>6. Chronological Medical Timeline Reconstruction</w:t>
      </w:r>
    </w:p>
    <w:p>
      <w:r>
        <w:t>Patients frequently bring stacks of unsorted paper spanning several years. Module B re-orders this chaotic stream into a deterministic, chronological medical journey.</w:t>
      </w:r>
    </w:p>
    <w:p>
      <w:pPr>
        <w:pStyle w:val="ListBullet"/>
      </w:pPr>
      <w:r>
        <w:rPr>
          <w:b/>
        </w:rPr>
        <w:t xml:space="preserve">Multi-Format Date Extraction: </w:t>
      </w:r>
      <w:r>
        <w:t>Robust regex and NLP patterns detect Indian date conventions (DD/MM/YYYY, DD-MM-YY, DD.MM.YYYY, and handwritten cursive dates like '18/11/10' or '8/10/23').</w:t>
      </w:r>
    </w:p>
    <w:p>
      <w:pPr>
        <w:pStyle w:val="ListBullet"/>
      </w:pPr>
      <w:r>
        <w:rPr>
          <w:b/>
        </w:rPr>
        <w:t xml:space="preserve">Document Type Classification: </w:t>
      </w:r>
      <w:r>
        <w:t>Each document is assigned a category: Prior Prescription, Inpatient Discharge Summary, Laboratory Report, Radiology Investigation, or Surgical Note.</w:t>
      </w:r>
    </w:p>
    <w:p>
      <w:pPr>
        <w:pStyle w:val="ListBullet"/>
      </w:pPr>
      <w:r>
        <w:rPr>
          <w:b/>
        </w:rPr>
        <w:t xml:space="preserve">Longitudinal Episode Clustering: </w:t>
      </w:r>
      <w:r>
        <w:t>Chronologically groups records into distinct clinical episodes (e.g., 'Episode 1: Right Knee Trauma &amp; Initial Conservative Management - Nov/Dec 2010'; 'Episode 2: Acute Ocular Infection &amp; Systemic Antibiotic Therapy - Oct 2023').</w:t>
      </w:r>
    </w:p>
    <w:p>
      <w:pPr>
        <w:pStyle w:val="ListBullet"/>
      </w:pPr>
      <w:r>
        <w:rPr>
          <w:b/>
        </w:rPr>
        <w:t xml:space="preserve">Interactive Visual Timeline Widget: </w:t>
      </w:r>
      <w:r>
        <w:t>Renders an interactive timeline on the physician's screen allowing one-click filtering by condition, specialty, or abnormal lab markers.</w:t>
      </w:r>
    </w:p>
    <w:p>
      <w:pPr>
        <w:keepNext/>
        <w:spacing w:before="360" w:after="120"/>
        <w:pBdr>
          <w:bottom w:val="single" w:sz="8" w:space="4" w:color="1A365D"/>
        </w:pBdr>
      </w:pPr>
      <w:r>
        <w:rPr>
          <w:b/>
          <w:color w:val="1A365D"/>
          <w:sz w:val="32"/>
        </w:rPr>
        <w:t>7. ABDM FHIR R4 Interoperability &amp; Security Architecture</w:t>
      </w:r>
    </w:p>
    <w:p>
      <w:r>
        <w:t>To satisfy Ayushman Bharat Digital Mission (ABDM) compliance and integrate seamlessly with Indian Hospital Information Systems (HIS) and EMRs, all extracted intelligence is packaged into standard HL7 FHIR Release 4 JSON bundles.</w:t>
      </w:r>
    </w:p>
    <w:tbl>
      <w:tblPr>
        <w:tblW w:type="auto" w:w="0"/>
        <w:jc w:val="center"/>
        <w:tblLook w:firstColumn="1" w:firstRow="1" w:lastColumn="0" w:lastRow="0" w:noHBand="0" w:noVBand="1" w:val="04A0"/>
        <w:tblBorders>
          <w:top w:val="single" w:sz="4" w:space="0" w:color="CBD5E0"/>
          <w:bottom w:val="single" w:sz="6" w:space="0" w:color="1A365D"/>
          <w:left w:val="none" w:sz="0" w:space="0" w:color="auto"/>
          <w:right w:val="none" w:sz="0" w:space="0" w:color="auto"/>
          <w:insideH w:val="single" w:sz="4" w:space="0" w:color="CBD5E0"/>
          <w:insideV w:val="none" w:sz="0" w:space="0" w:color="auto"/>
        </w:tblBorders>
      </w:tblPr>
      <w:tblGrid>
        <w:gridCol w:w="3120"/>
        <w:gridCol w:w="3120"/>
        <w:gridCol w:w="3120"/>
      </w:tblGrid>
      <w:tr>
        <w:tc>
          <w:tcPr>
            <w:tcW w:type="dxa" w:w="3120"/>
            <w:shd w:val="clear" w:color="auto" w:fill="1A365D"/>
            <w:tcMar>
              <w:top w:w="100" w:type="dxa"/>
              <w:bottom w:w="100" w:type="dxa"/>
              <w:left w:w="100" w:type="dxa"/>
              <w:right w:w="100" w:type="dxa"/>
            </w:tcMar>
          </w:tcPr>
          <w:p>
            <w:r>
              <w:rPr>
                <w:b/>
                <w:color w:val="FFFFFF"/>
                <w:sz w:val="20"/>
              </w:rPr>
              <w:t>FHIR Resource</w:t>
            </w:r>
          </w:p>
        </w:tc>
        <w:tc>
          <w:tcPr>
            <w:tcW w:type="dxa" w:w="3120"/>
            <w:shd w:val="clear" w:color="auto" w:fill="1A365D"/>
            <w:tcMar>
              <w:top w:w="100" w:type="dxa"/>
              <w:bottom w:w="100" w:type="dxa"/>
              <w:left w:w="100" w:type="dxa"/>
              <w:right w:w="100" w:type="dxa"/>
            </w:tcMar>
          </w:tcPr>
          <w:p>
            <w:r>
              <w:rPr>
                <w:b/>
                <w:color w:val="FFFFFF"/>
                <w:sz w:val="20"/>
              </w:rPr>
              <w:t>Module B Data Source</w:t>
            </w:r>
          </w:p>
        </w:tc>
        <w:tc>
          <w:tcPr>
            <w:tcW w:type="dxa" w:w="3120"/>
            <w:shd w:val="clear" w:color="auto" w:fill="1A365D"/>
            <w:tcMar>
              <w:top w:w="100" w:type="dxa"/>
              <w:bottom w:w="100" w:type="dxa"/>
              <w:left w:w="100" w:type="dxa"/>
              <w:right w:w="100" w:type="dxa"/>
            </w:tcMar>
          </w:tcPr>
          <w:p>
            <w:r>
              <w:rPr>
                <w:b/>
                <w:color w:val="FFFFFF"/>
                <w:sz w:val="20"/>
              </w:rPr>
              <w:t>Key Attributes &amp; Coding Systems</w:t>
            </w:r>
          </w:p>
        </w:tc>
      </w:tr>
      <w:tr>
        <w:tc>
          <w:tcPr>
            <w:tcW w:type="dxa" w:w="3120"/>
            <w:shd w:val="clear" w:color="auto" w:fill="F7FAFC"/>
            <w:tcMar>
              <w:top w:w="80" w:type="dxa"/>
              <w:bottom w:w="80" w:type="dxa"/>
              <w:left w:w="100" w:type="dxa"/>
              <w:right w:w="100" w:type="dxa"/>
            </w:tcMar>
          </w:tcPr>
          <w:p>
            <w:r>
              <w:rPr>
                <w:b/>
                <w:sz w:val="19"/>
              </w:rPr>
              <w:t>Bundle (document type)</w:t>
            </w:r>
          </w:p>
        </w:tc>
        <w:tc>
          <w:tcPr>
            <w:tcW w:type="dxa" w:w="3120"/>
            <w:shd w:val="clear" w:color="auto" w:fill="F7FAFC"/>
            <w:tcMar>
              <w:top w:w="80" w:type="dxa"/>
              <w:bottom w:w="80" w:type="dxa"/>
              <w:left w:w="100" w:type="dxa"/>
              <w:right w:w="100" w:type="dxa"/>
            </w:tcMar>
          </w:tcPr>
          <w:p>
            <w:r>
              <w:rPr>
                <w:sz w:val="19"/>
              </w:rPr>
              <w:t>Complete scanned session</w:t>
            </w:r>
          </w:p>
        </w:tc>
        <w:tc>
          <w:tcPr>
            <w:tcW w:type="dxa" w:w="3120"/>
            <w:shd w:val="clear" w:color="auto" w:fill="F7FAFC"/>
            <w:tcMar>
              <w:top w:w="80" w:type="dxa"/>
              <w:bottom w:w="80" w:type="dxa"/>
              <w:left w:w="100" w:type="dxa"/>
              <w:right w:w="100" w:type="dxa"/>
            </w:tcMar>
          </w:tcPr>
          <w:p>
            <w:r>
              <w:rPr>
                <w:sz w:val="19"/>
              </w:rPr>
              <w:t>Bundle.type = 'document', timestamp, identifier, signature</w:t>
            </w:r>
          </w:p>
        </w:tc>
      </w:tr>
      <w:tr>
        <w:tc>
          <w:tcPr>
            <w:tcW w:type="dxa" w:w="3120"/>
            <w:shd w:val="clear" w:color="auto" w:fill="FFFFFF"/>
            <w:tcMar>
              <w:top w:w="80" w:type="dxa"/>
              <w:bottom w:w="80" w:type="dxa"/>
              <w:left w:w="100" w:type="dxa"/>
              <w:right w:w="100" w:type="dxa"/>
            </w:tcMar>
          </w:tcPr>
          <w:p>
            <w:r>
              <w:rPr>
                <w:b/>
                <w:sz w:val="19"/>
              </w:rPr>
              <w:t>Composition</w:t>
            </w:r>
          </w:p>
        </w:tc>
        <w:tc>
          <w:tcPr>
            <w:tcW w:type="dxa" w:w="3120"/>
            <w:shd w:val="clear" w:color="auto" w:fill="FFFFFF"/>
            <w:tcMar>
              <w:top w:w="80" w:type="dxa"/>
              <w:bottom w:w="80" w:type="dxa"/>
              <w:left w:w="100" w:type="dxa"/>
              <w:right w:w="100" w:type="dxa"/>
            </w:tcMar>
          </w:tcPr>
          <w:p>
            <w:r>
              <w:rPr>
                <w:sz w:val="19"/>
              </w:rPr>
              <w:t>Document metadata &amp; clinical narrative</w:t>
            </w:r>
          </w:p>
        </w:tc>
        <w:tc>
          <w:tcPr>
            <w:tcW w:type="dxa" w:w="3120"/>
            <w:shd w:val="clear" w:color="auto" w:fill="FFFFFF"/>
            <w:tcMar>
              <w:top w:w="80" w:type="dxa"/>
              <w:bottom w:w="80" w:type="dxa"/>
              <w:left w:w="100" w:type="dxa"/>
              <w:right w:w="100" w:type="dxa"/>
            </w:tcMar>
          </w:tcPr>
          <w:p>
            <w:r>
              <w:rPr>
                <w:sz w:val="19"/>
              </w:rPr>
              <w:t>Clinical document header, authoring doctor, linked ABHA ID, sections</w:t>
            </w:r>
          </w:p>
        </w:tc>
      </w:tr>
      <w:tr>
        <w:tc>
          <w:tcPr>
            <w:tcW w:type="dxa" w:w="3120"/>
            <w:shd w:val="clear" w:color="auto" w:fill="F7FAFC"/>
            <w:tcMar>
              <w:top w:w="80" w:type="dxa"/>
              <w:bottom w:w="80" w:type="dxa"/>
              <w:left w:w="100" w:type="dxa"/>
              <w:right w:w="100" w:type="dxa"/>
            </w:tcMar>
          </w:tcPr>
          <w:p>
            <w:r>
              <w:rPr>
                <w:b/>
                <w:sz w:val="19"/>
              </w:rPr>
              <w:t>MedicationRequest</w:t>
            </w:r>
          </w:p>
        </w:tc>
        <w:tc>
          <w:tcPr>
            <w:tcW w:type="dxa" w:w="3120"/>
            <w:shd w:val="clear" w:color="auto" w:fill="F7FAFC"/>
            <w:tcMar>
              <w:top w:w="80" w:type="dxa"/>
              <w:bottom w:w="80" w:type="dxa"/>
              <w:left w:w="100" w:type="dxa"/>
              <w:right w:w="100" w:type="dxa"/>
            </w:tcMar>
          </w:tcPr>
          <w:p>
            <w:r>
              <w:rPr>
                <w:sz w:val="19"/>
              </w:rPr>
              <w:t>Prescription line items</w:t>
            </w:r>
          </w:p>
        </w:tc>
        <w:tc>
          <w:tcPr>
            <w:tcW w:type="dxa" w:w="3120"/>
            <w:shd w:val="clear" w:color="auto" w:fill="F7FAFC"/>
            <w:tcMar>
              <w:top w:w="80" w:type="dxa"/>
              <w:bottom w:w="80" w:type="dxa"/>
              <w:left w:w="100" w:type="dxa"/>
              <w:right w:w="100" w:type="dxa"/>
            </w:tcMar>
          </w:tcPr>
          <w:p>
            <w:r>
              <w:rPr>
                <w:sz w:val="19"/>
              </w:rPr>
              <w:t>MedicationCodeableConcept (RxNorm/SNOMED), dosageInstruction, timing</w:t>
            </w:r>
          </w:p>
        </w:tc>
      </w:tr>
      <w:tr>
        <w:tc>
          <w:tcPr>
            <w:tcW w:type="dxa" w:w="3120"/>
            <w:shd w:val="clear" w:color="auto" w:fill="FFFFFF"/>
            <w:tcMar>
              <w:top w:w="80" w:type="dxa"/>
              <w:bottom w:w="80" w:type="dxa"/>
              <w:left w:w="100" w:type="dxa"/>
              <w:right w:w="100" w:type="dxa"/>
            </w:tcMar>
          </w:tcPr>
          <w:p>
            <w:r>
              <w:rPr>
                <w:b/>
                <w:sz w:val="19"/>
              </w:rPr>
              <w:t>Observation</w:t>
            </w:r>
          </w:p>
        </w:tc>
        <w:tc>
          <w:tcPr>
            <w:tcW w:type="dxa" w:w="3120"/>
            <w:shd w:val="clear" w:color="auto" w:fill="FFFFFF"/>
            <w:tcMar>
              <w:top w:w="80" w:type="dxa"/>
              <w:bottom w:w="80" w:type="dxa"/>
              <w:left w:w="100" w:type="dxa"/>
              <w:right w:w="100" w:type="dxa"/>
            </w:tcMar>
          </w:tcPr>
          <w:p>
            <w:r>
              <w:rPr>
                <w:sz w:val="19"/>
              </w:rPr>
              <w:t>Lab investigations &amp; vitals</w:t>
            </w:r>
          </w:p>
        </w:tc>
        <w:tc>
          <w:tcPr>
            <w:tcW w:type="dxa" w:w="3120"/>
            <w:shd w:val="clear" w:color="auto" w:fill="FFFFFF"/>
            <w:tcMar>
              <w:top w:w="80" w:type="dxa"/>
              <w:bottom w:w="80" w:type="dxa"/>
              <w:left w:w="100" w:type="dxa"/>
              <w:right w:w="100" w:type="dxa"/>
            </w:tcMar>
          </w:tcPr>
          <w:p>
            <w:r>
              <w:rPr>
                <w:sz w:val="19"/>
              </w:rPr>
              <w:t>Code (LOINC), valueQuantity / valueString, referenceRange, interpretation</w:t>
            </w:r>
          </w:p>
        </w:tc>
      </w:tr>
      <w:tr>
        <w:tc>
          <w:tcPr>
            <w:tcW w:type="dxa" w:w="3120"/>
            <w:shd w:val="clear" w:color="auto" w:fill="F7FAFC"/>
            <w:tcMar>
              <w:top w:w="80" w:type="dxa"/>
              <w:bottom w:w="80" w:type="dxa"/>
              <w:left w:w="100" w:type="dxa"/>
              <w:right w:w="100" w:type="dxa"/>
            </w:tcMar>
          </w:tcPr>
          <w:p>
            <w:r>
              <w:rPr>
                <w:b/>
                <w:sz w:val="19"/>
              </w:rPr>
              <w:t>Condition</w:t>
            </w:r>
          </w:p>
        </w:tc>
        <w:tc>
          <w:tcPr>
            <w:tcW w:type="dxa" w:w="3120"/>
            <w:shd w:val="clear" w:color="auto" w:fill="F7FAFC"/>
            <w:tcMar>
              <w:top w:w="80" w:type="dxa"/>
              <w:bottom w:w="80" w:type="dxa"/>
              <w:left w:w="100" w:type="dxa"/>
              <w:right w:w="100" w:type="dxa"/>
            </w:tcMar>
          </w:tcPr>
          <w:p>
            <w:r>
              <w:rPr>
                <w:sz w:val="19"/>
              </w:rPr>
              <w:t>Provisional / established diagnoses</w:t>
            </w:r>
          </w:p>
        </w:tc>
        <w:tc>
          <w:tcPr>
            <w:tcW w:type="dxa" w:w="3120"/>
            <w:shd w:val="clear" w:color="auto" w:fill="F7FAFC"/>
            <w:tcMar>
              <w:top w:w="80" w:type="dxa"/>
              <w:bottom w:w="80" w:type="dxa"/>
              <w:left w:w="100" w:type="dxa"/>
              <w:right w:w="100" w:type="dxa"/>
            </w:tcMar>
          </w:tcPr>
          <w:p>
            <w:r>
              <w:rPr>
                <w:sz w:val="19"/>
              </w:rPr>
              <w:t>Code (ICD-10 / SNOMED CT), clinicalStatus, verificationStatus</w:t>
            </w:r>
          </w:p>
        </w:tc>
      </w:tr>
    </w:tbl>
    <w:p>
      <w:pPr>
        <w:spacing w:after="80"/>
      </w:pPr>
    </w:p>
    <w:p>
      <w:pPr>
        <w:keepNext/>
        <w:spacing w:before="280" w:after="80"/>
      </w:pPr>
      <w:r>
        <w:rPr>
          <w:b/>
          <w:color w:val="2B6CB0"/>
          <w:sz w:val="26"/>
        </w:rPr>
        <w:t>7.2 Consent &amp; Data Privacy (DPDP Act 2023)</w:t>
      </w:r>
    </w:p>
    <w:p>
      <w:r>
        <w:t>In compliance with the Digital Personal Data Protection (DPDP) Act 2023 and ABDM consent artifact protocols, Module B operates under strict zero-leakage security rules:</w:t>
      </w:r>
    </w:p>
    <w:p>
      <w:pPr>
        <w:pStyle w:val="ListBullet"/>
      </w:pPr>
      <w:r>
        <w:rPr>
          <w:b/>
        </w:rPr>
        <w:t xml:space="preserve">Kiosk Session Ephemerality: </w:t>
      </w:r>
      <w:r>
        <w:t>All raw image buffers, intermediate OCR crops, and temporary JSON tokens are held in volatile RAM or encrypted temporary scratch mounts, purged immediately upon successful submission or session timeout.</w:t>
      </w:r>
    </w:p>
    <w:p>
      <w:pPr>
        <w:pStyle w:val="ListBullet"/>
      </w:pPr>
      <w:r>
        <w:rPr>
          <w:b/>
        </w:rPr>
        <w:t xml:space="preserve">ABDM Consent Artifact Linkage: </w:t>
      </w:r>
      <w:r>
        <w:t>Document extraction and storage occur only after cryptographic verification of the patient's ABHA consent artifact.</w:t>
      </w:r>
    </w:p>
    <w:p>
      <w:pPr>
        <w:pStyle w:val="ListBullet"/>
      </w:pPr>
      <w:r>
        <w:rPr>
          <w:b/>
        </w:rPr>
        <w:t xml:space="preserve">AES-256 At-Rest &amp; TLS 1.3 In-Transit: </w:t>
      </w:r>
      <w:r>
        <w:t>All data persisted to the hospital EMR backend is encrypted using AES-256-GCM; API calls to Bhashini and HIS endpoints utilize mutual TLS 1.3.</w:t>
      </w:r>
    </w:p>
    <w:p>
      <w:pPr>
        <w:keepNext/>
        <w:spacing w:before="360" w:after="120"/>
        <w:pBdr>
          <w:bottom w:val="single" w:sz="8" w:space="4" w:color="1A365D"/>
        </w:pBdr>
      </w:pPr>
      <w:r>
        <w:rPr>
          <w:b/>
          <w:color w:val="1A365D"/>
          <w:sz w:val="32"/>
        </w:rPr>
        <w:t>8. Execution Roadmap, Sprint Breakdown &amp; Tech Stack</w:t>
      </w:r>
    </w:p>
    <w:p>
      <w:pPr>
        <w:keepNext/>
        <w:spacing w:before="280" w:after="80"/>
      </w:pPr>
      <w:r>
        <w:rPr>
          <w:b/>
          <w:color w:val="2B6CB0"/>
          <w:sz w:val="26"/>
        </w:rPr>
        <w:t>8.1 Recommended Open-Source &amp; Enterprise Tech Stack</w:t>
      </w:r>
    </w:p>
    <w:tbl>
      <w:tblPr>
        <w:tblW w:type="auto" w:w="0"/>
        <w:jc w:val="center"/>
        <w:tblLook w:firstColumn="1" w:firstRow="1" w:lastColumn="0" w:lastRow="0" w:noHBand="0" w:noVBand="1" w:val="04A0"/>
        <w:tblBorders>
          <w:top w:val="single" w:sz="4" w:space="0" w:color="CBD5E0"/>
          <w:bottom w:val="single" w:sz="6" w:space="0" w:color="1A365D"/>
          <w:left w:val="none" w:sz="0" w:space="0" w:color="auto"/>
          <w:right w:val="none" w:sz="0" w:space="0" w:color="auto"/>
          <w:insideH w:val="single" w:sz="4" w:space="0" w:color="CBD5E0"/>
          <w:insideV w:val="none" w:sz="0" w:space="0" w:color="auto"/>
        </w:tblBorders>
      </w:tblPr>
      <w:tblGrid>
        <w:gridCol w:w="3120"/>
        <w:gridCol w:w="3120"/>
        <w:gridCol w:w="3120"/>
      </w:tblGrid>
      <w:tr>
        <w:tc>
          <w:tcPr>
            <w:tcW w:type="dxa" w:w="3120"/>
            <w:shd w:val="clear" w:color="auto" w:fill="1A365D"/>
            <w:tcMar>
              <w:top w:w="100" w:type="dxa"/>
              <w:bottom w:w="100" w:type="dxa"/>
              <w:left w:w="100" w:type="dxa"/>
              <w:right w:w="100" w:type="dxa"/>
            </w:tcMar>
          </w:tcPr>
          <w:p>
            <w:r>
              <w:rPr>
                <w:b/>
                <w:color w:val="FFFFFF"/>
                <w:sz w:val="20"/>
              </w:rPr>
              <w:t>Layer / Subsystem</w:t>
            </w:r>
          </w:p>
        </w:tc>
        <w:tc>
          <w:tcPr>
            <w:tcW w:type="dxa" w:w="3120"/>
            <w:shd w:val="clear" w:color="auto" w:fill="1A365D"/>
            <w:tcMar>
              <w:top w:w="100" w:type="dxa"/>
              <w:bottom w:w="100" w:type="dxa"/>
              <w:left w:w="100" w:type="dxa"/>
              <w:right w:w="100" w:type="dxa"/>
            </w:tcMar>
          </w:tcPr>
          <w:p>
            <w:r>
              <w:rPr>
                <w:b/>
                <w:color w:val="FFFFFF"/>
                <w:sz w:val="20"/>
              </w:rPr>
              <w:t>Primary Technology Selection</w:t>
            </w:r>
          </w:p>
        </w:tc>
        <w:tc>
          <w:tcPr>
            <w:tcW w:type="dxa" w:w="3120"/>
            <w:shd w:val="clear" w:color="auto" w:fill="1A365D"/>
            <w:tcMar>
              <w:top w:w="100" w:type="dxa"/>
              <w:bottom w:w="100" w:type="dxa"/>
              <w:left w:w="100" w:type="dxa"/>
              <w:right w:w="100" w:type="dxa"/>
            </w:tcMar>
          </w:tcPr>
          <w:p>
            <w:r>
              <w:rPr>
                <w:b/>
                <w:color w:val="FFFFFF"/>
                <w:sz w:val="20"/>
              </w:rPr>
              <w:t>License / Cost Model</w:t>
            </w:r>
          </w:p>
        </w:tc>
      </w:tr>
      <w:tr>
        <w:tc>
          <w:tcPr>
            <w:tcW w:type="dxa" w:w="3120"/>
            <w:shd w:val="clear" w:color="auto" w:fill="F7FAFC"/>
            <w:tcMar>
              <w:top w:w="80" w:type="dxa"/>
              <w:bottom w:w="80" w:type="dxa"/>
              <w:left w:w="100" w:type="dxa"/>
              <w:right w:w="100" w:type="dxa"/>
            </w:tcMar>
          </w:tcPr>
          <w:p>
            <w:r>
              <w:rPr>
                <w:b/>
                <w:sz w:val="19"/>
              </w:rPr>
              <w:t>Image Processing &amp; CV</w:t>
            </w:r>
          </w:p>
        </w:tc>
        <w:tc>
          <w:tcPr>
            <w:tcW w:type="dxa" w:w="3120"/>
            <w:shd w:val="clear" w:color="auto" w:fill="F7FAFC"/>
            <w:tcMar>
              <w:top w:w="80" w:type="dxa"/>
              <w:bottom w:w="80" w:type="dxa"/>
              <w:left w:w="100" w:type="dxa"/>
              <w:right w:w="100" w:type="dxa"/>
            </w:tcMar>
          </w:tcPr>
          <w:p>
            <w:r>
              <w:rPr>
                <w:sz w:val="19"/>
              </w:rPr>
              <w:t>OpenCV 4.x + Pillow + NumPy</w:t>
            </w:r>
          </w:p>
        </w:tc>
        <w:tc>
          <w:tcPr>
            <w:tcW w:type="dxa" w:w="3120"/>
            <w:shd w:val="clear" w:color="auto" w:fill="F7FAFC"/>
            <w:tcMar>
              <w:top w:w="80" w:type="dxa"/>
              <w:bottom w:w="80" w:type="dxa"/>
              <w:left w:w="100" w:type="dxa"/>
              <w:right w:w="100" w:type="dxa"/>
            </w:tcMar>
          </w:tcPr>
          <w:p>
            <w:r>
              <w:rPr>
                <w:sz w:val="19"/>
              </w:rPr>
              <w:t>Open Source (Apache 2.0 / BSD)</w:t>
            </w:r>
          </w:p>
        </w:tc>
      </w:tr>
      <w:tr>
        <w:tc>
          <w:tcPr>
            <w:tcW w:type="dxa" w:w="3120"/>
            <w:shd w:val="clear" w:color="auto" w:fill="FFFFFF"/>
            <w:tcMar>
              <w:top w:w="80" w:type="dxa"/>
              <w:bottom w:w="80" w:type="dxa"/>
              <w:left w:w="100" w:type="dxa"/>
              <w:right w:w="100" w:type="dxa"/>
            </w:tcMar>
          </w:tcPr>
          <w:p>
            <w:r>
              <w:rPr>
                <w:b/>
                <w:sz w:val="19"/>
              </w:rPr>
              <w:t>Document Layout Analysis</w:t>
            </w:r>
          </w:p>
        </w:tc>
        <w:tc>
          <w:tcPr>
            <w:tcW w:type="dxa" w:w="3120"/>
            <w:shd w:val="clear" w:color="auto" w:fill="FFFFFF"/>
            <w:tcMar>
              <w:top w:w="80" w:type="dxa"/>
              <w:bottom w:w="80" w:type="dxa"/>
              <w:left w:w="100" w:type="dxa"/>
              <w:right w:w="100" w:type="dxa"/>
            </w:tcMar>
          </w:tcPr>
          <w:p>
            <w:r>
              <w:rPr>
                <w:sz w:val="19"/>
              </w:rPr>
              <w:t>LayoutLMv3 (PyTorch) / YOLOv8-Doc</w:t>
            </w:r>
          </w:p>
        </w:tc>
        <w:tc>
          <w:tcPr>
            <w:tcW w:type="dxa" w:w="3120"/>
            <w:shd w:val="clear" w:color="auto" w:fill="FFFFFF"/>
            <w:tcMar>
              <w:top w:w="80" w:type="dxa"/>
              <w:bottom w:w="80" w:type="dxa"/>
              <w:left w:w="100" w:type="dxa"/>
              <w:right w:w="100" w:type="dxa"/>
            </w:tcMar>
          </w:tcPr>
          <w:p>
            <w:r>
              <w:rPr>
                <w:sz w:val="19"/>
              </w:rPr>
              <w:t>Open Weights (Hugging Face)</w:t>
            </w:r>
          </w:p>
        </w:tc>
      </w:tr>
      <w:tr>
        <w:tc>
          <w:tcPr>
            <w:tcW w:type="dxa" w:w="3120"/>
            <w:shd w:val="clear" w:color="auto" w:fill="F7FAFC"/>
            <w:tcMar>
              <w:top w:w="80" w:type="dxa"/>
              <w:bottom w:w="80" w:type="dxa"/>
              <w:left w:w="100" w:type="dxa"/>
              <w:right w:w="100" w:type="dxa"/>
            </w:tcMar>
          </w:tcPr>
          <w:p>
            <w:r>
              <w:rPr>
                <w:b/>
                <w:sz w:val="19"/>
              </w:rPr>
              <w:t>Handwriting &amp; Document OCR</w:t>
            </w:r>
          </w:p>
        </w:tc>
        <w:tc>
          <w:tcPr>
            <w:tcW w:type="dxa" w:w="3120"/>
            <w:shd w:val="clear" w:color="auto" w:fill="F7FAFC"/>
            <w:tcMar>
              <w:top w:w="80" w:type="dxa"/>
              <w:bottom w:w="80" w:type="dxa"/>
              <w:left w:w="100" w:type="dxa"/>
              <w:right w:w="100" w:type="dxa"/>
            </w:tcMar>
          </w:tcPr>
          <w:p>
            <w:r>
              <w:rPr>
                <w:sz w:val="19"/>
              </w:rPr>
              <w:t>Microsoft TrOCR-Handwritten + Qwen2.5-VL-7B (4-bit quantized)</w:t>
            </w:r>
          </w:p>
        </w:tc>
        <w:tc>
          <w:tcPr>
            <w:tcW w:type="dxa" w:w="3120"/>
            <w:shd w:val="clear" w:color="auto" w:fill="F7FAFC"/>
            <w:tcMar>
              <w:top w:w="80" w:type="dxa"/>
              <w:bottom w:w="80" w:type="dxa"/>
              <w:left w:w="100" w:type="dxa"/>
              <w:right w:w="100" w:type="dxa"/>
            </w:tcMar>
          </w:tcPr>
          <w:p>
            <w:r>
              <w:rPr>
                <w:sz w:val="19"/>
              </w:rPr>
              <w:t>Open Weights / MIT / Apache 2.0</w:t>
            </w:r>
          </w:p>
        </w:tc>
      </w:tr>
      <w:tr>
        <w:tc>
          <w:tcPr>
            <w:tcW w:type="dxa" w:w="3120"/>
            <w:shd w:val="clear" w:color="auto" w:fill="FFFFFF"/>
            <w:tcMar>
              <w:top w:w="80" w:type="dxa"/>
              <w:bottom w:w="80" w:type="dxa"/>
              <w:left w:w="100" w:type="dxa"/>
              <w:right w:w="100" w:type="dxa"/>
            </w:tcMar>
          </w:tcPr>
          <w:p>
            <w:r>
              <w:rPr>
                <w:b/>
                <w:sz w:val="19"/>
              </w:rPr>
              <w:t>Vernacular OCR &amp; NMT</w:t>
            </w:r>
          </w:p>
        </w:tc>
        <w:tc>
          <w:tcPr>
            <w:tcW w:type="dxa" w:w="3120"/>
            <w:shd w:val="clear" w:color="auto" w:fill="FFFFFF"/>
            <w:tcMar>
              <w:top w:w="80" w:type="dxa"/>
              <w:bottom w:w="80" w:type="dxa"/>
              <w:left w:w="100" w:type="dxa"/>
              <w:right w:w="100" w:type="dxa"/>
            </w:tcMar>
          </w:tcPr>
          <w:p>
            <w:r>
              <w:rPr>
                <w:sz w:val="19"/>
              </w:rPr>
              <w:t>Bhashini ULCA API Gateway (MeitY)</w:t>
            </w:r>
          </w:p>
        </w:tc>
        <w:tc>
          <w:tcPr>
            <w:tcW w:type="dxa" w:w="3120"/>
            <w:shd w:val="clear" w:color="auto" w:fill="FFFFFF"/>
            <w:tcMar>
              <w:top w:w="80" w:type="dxa"/>
              <w:bottom w:w="80" w:type="dxa"/>
              <w:left w:w="100" w:type="dxa"/>
              <w:right w:w="100" w:type="dxa"/>
            </w:tcMar>
          </w:tcPr>
          <w:p>
            <w:r>
              <w:rPr>
                <w:sz w:val="19"/>
              </w:rPr>
              <w:t>Government of India (Free Tier API)</w:t>
            </w:r>
          </w:p>
        </w:tc>
      </w:tr>
      <w:tr>
        <w:tc>
          <w:tcPr>
            <w:tcW w:type="dxa" w:w="3120"/>
            <w:shd w:val="clear" w:color="auto" w:fill="F7FAFC"/>
            <w:tcMar>
              <w:top w:w="80" w:type="dxa"/>
              <w:bottom w:w="80" w:type="dxa"/>
              <w:left w:w="100" w:type="dxa"/>
              <w:right w:w="100" w:type="dxa"/>
            </w:tcMar>
          </w:tcPr>
          <w:p>
            <w:r>
              <w:rPr>
                <w:b/>
                <w:sz w:val="19"/>
              </w:rPr>
              <w:t>Clinical Reasoning &amp; Extraction</w:t>
            </w:r>
          </w:p>
        </w:tc>
        <w:tc>
          <w:tcPr>
            <w:tcW w:type="dxa" w:w="3120"/>
            <w:shd w:val="clear" w:color="auto" w:fill="F7FAFC"/>
            <w:tcMar>
              <w:top w:w="80" w:type="dxa"/>
              <w:bottom w:w="80" w:type="dxa"/>
              <w:left w:w="100" w:type="dxa"/>
              <w:right w:w="100" w:type="dxa"/>
            </w:tcMar>
          </w:tcPr>
          <w:p>
            <w:r>
              <w:rPr>
                <w:sz w:val="19"/>
              </w:rPr>
              <w:t>OpenBioLLM-Llama3-8B / MedGemma-4B via Ollama / vLLM</w:t>
            </w:r>
          </w:p>
        </w:tc>
        <w:tc>
          <w:tcPr>
            <w:tcW w:type="dxa" w:w="3120"/>
            <w:shd w:val="clear" w:color="auto" w:fill="F7FAFC"/>
            <w:tcMar>
              <w:top w:w="80" w:type="dxa"/>
              <w:bottom w:w="80" w:type="dxa"/>
              <w:left w:w="100" w:type="dxa"/>
              <w:right w:w="100" w:type="dxa"/>
            </w:tcMar>
          </w:tcPr>
          <w:p>
            <w:r>
              <w:rPr>
                <w:sz w:val="19"/>
              </w:rPr>
              <w:t>Open Weights (Permissive Medical License)</w:t>
            </w:r>
          </w:p>
        </w:tc>
      </w:tr>
      <w:tr>
        <w:tc>
          <w:tcPr>
            <w:tcW w:type="dxa" w:w="3120"/>
            <w:shd w:val="clear" w:color="auto" w:fill="FFFFFF"/>
            <w:tcMar>
              <w:top w:w="80" w:type="dxa"/>
              <w:bottom w:w="80" w:type="dxa"/>
              <w:left w:w="100" w:type="dxa"/>
              <w:right w:w="100" w:type="dxa"/>
            </w:tcMar>
          </w:tcPr>
          <w:p>
            <w:r>
              <w:rPr>
                <w:b/>
                <w:sz w:val="19"/>
              </w:rPr>
              <w:t>Interoperability &amp; Data Modeling</w:t>
            </w:r>
          </w:p>
        </w:tc>
        <w:tc>
          <w:tcPr>
            <w:tcW w:type="dxa" w:w="3120"/>
            <w:shd w:val="clear" w:color="auto" w:fill="FFFFFF"/>
            <w:tcMar>
              <w:top w:w="80" w:type="dxa"/>
              <w:bottom w:w="80" w:type="dxa"/>
              <w:left w:w="100" w:type="dxa"/>
              <w:right w:w="100" w:type="dxa"/>
            </w:tcMar>
          </w:tcPr>
          <w:p>
            <w:r>
              <w:rPr>
                <w:sz w:val="19"/>
              </w:rPr>
              <w:t>FHIR.js / fhir.resources (Python Pydantic) + PostgreSQL</w:t>
            </w:r>
          </w:p>
        </w:tc>
        <w:tc>
          <w:tcPr>
            <w:tcW w:type="dxa" w:w="3120"/>
            <w:shd w:val="clear" w:color="auto" w:fill="FFFFFF"/>
            <w:tcMar>
              <w:top w:w="80" w:type="dxa"/>
              <w:bottom w:w="80" w:type="dxa"/>
              <w:left w:w="100" w:type="dxa"/>
              <w:right w:w="100" w:type="dxa"/>
            </w:tcMar>
          </w:tcPr>
          <w:p>
            <w:r>
              <w:rPr>
                <w:sz w:val="19"/>
              </w:rPr>
              <w:t>Open Source (MIT / PostgreSQL License)</w:t>
            </w:r>
          </w:p>
        </w:tc>
      </w:tr>
    </w:tbl>
    <w:p>
      <w:pPr>
        <w:spacing w:after="80"/>
      </w:pPr>
    </w:p>
    <w:p>
      <w:pPr>
        <w:keepNext/>
        <w:spacing w:before="280" w:after="80"/>
      </w:pPr>
      <w:r>
        <w:rPr>
          <w:b/>
          <w:color w:val="2B6CB0"/>
          <w:sz w:val="26"/>
        </w:rPr>
        <w:t>8.2 6-Week Engineering Implementation Sprints</w:t>
      </w:r>
    </w:p>
    <w:p>
      <w:pPr>
        <w:keepNext/>
        <w:spacing w:before="200" w:after="60"/>
      </w:pPr>
      <w:r>
        <w:rPr>
          <w:b/>
          <w:color w:val="4A5568"/>
          <w:sz w:val="23"/>
        </w:rPr>
        <w:t>Sprint 1: Computer Vision &amp; Layout Ingestion (Weeks 1-2)</w:t>
      </w:r>
    </w:p>
    <w:p>
      <w:pPr>
        <w:pStyle w:val="ListBullet"/>
      </w:pPr>
      <w:r>
        <w:t>Build OpenCV perspective correction, deskew, and shadow reduction pipeline.</w:t>
      </w:r>
    </w:p>
    <w:p>
      <w:pPr>
        <w:pStyle w:val="ListBullet"/>
      </w:pPr>
      <w:r>
        <w:t>Integrate camera capture service for high-res flatbed/overhead scanner at kiosk.</w:t>
      </w:r>
    </w:p>
    <w:p>
      <w:pPr>
        <w:pStyle w:val="ListBullet"/>
      </w:pPr>
      <w:r>
        <w:t>Deploy LayoutLMv3 / YOLOv8-Doc to segment prescriptions into Header, Clinical Notes, Rx Table, and Signature zones.</w:t>
      </w:r>
    </w:p>
    <w:p>
      <w:pPr>
        <w:keepNext/>
        <w:spacing w:before="200" w:after="60"/>
      </w:pPr>
      <w:r>
        <w:rPr>
          <w:b/>
          <w:color w:val="4A5568"/>
          <w:sz w:val="23"/>
        </w:rPr>
        <w:t>Sprint 2: Dual OCR &amp; Bhashini Vernacular Pipeline (Weeks 3-4)</w:t>
      </w:r>
    </w:p>
    <w:p>
      <w:pPr>
        <w:pStyle w:val="ListBullet"/>
      </w:pPr>
      <w:r>
        <w:t>Deploy TrOCR-Handwritten and Qwen2.5-VL-7B inference server with 4-bit quantization.</w:t>
      </w:r>
    </w:p>
    <w:p>
      <w:pPr>
        <w:pStyle w:val="ListBullet"/>
      </w:pPr>
      <w:r>
        <w:t>Integrate Bhashini ULCA API for Indic-OCR on prescription instructions and Bengali/Hindi NMT translation.</w:t>
      </w:r>
    </w:p>
    <w:p>
      <w:pPr>
        <w:pStyle w:val="ListBullet"/>
      </w:pPr>
      <w:r>
        <w:t>Implement Levenshtein and fuzzy string matching against CDSCO Indian Formulary and RxNorm APIs.</w:t>
      </w:r>
    </w:p>
    <w:p>
      <w:pPr>
        <w:keepNext/>
        <w:spacing w:before="200" w:after="60"/>
      </w:pPr>
      <w:r>
        <w:rPr>
          <w:b/>
          <w:color w:val="4A5568"/>
          <w:sz w:val="23"/>
        </w:rPr>
        <w:t>Sprint 3: Clinical Intelligence &amp; Verification Engines (Week 5)</w:t>
      </w:r>
    </w:p>
    <w:p>
      <w:pPr>
        <w:pStyle w:val="ListBullet"/>
      </w:pPr>
      <w:r>
        <w:t>Integrate OpenBioLLM-8B / MedGemma-4B for structured Pydantic clinical entity extraction.</w:t>
      </w:r>
    </w:p>
    <w:p>
      <w:pPr>
        <w:pStyle w:val="ListBullet"/>
      </w:pPr>
      <w:r>
        <w:t>Develop rule engine for abnormal lab value boundary analysis and LOINC mapping.</w:t>
      </w:r>
    </w:p>
    <w:p>
      <w:pPr>
        <w:pStyle w:val="ListBullet"/>
      </w:pPr>
      <w:r>
        <w:t>Build drug-drug interaction (DDI) checker, NSAID gastroprotection validation, and dosage ceiling alert algorithms.</w:t>
      </w:r>
    </w:p>
    <w:p>
      <w:pPr>
        <w:keepNext/>
        <w:spacing w:before="200" w:after="60"/>
      </w:pPr>
      <w:r>
        <w:rPr>
          <w:b/>
          <w:color w:val="4A5568"/>
          <w:sz w:val="23"/>
        </w:rPr>
        <w:t>Sprint 4: Timeline Reconstruction &amp; ABDM FHIR Packaging (Week 6)</w:t>
      </w:r>
    </w:p>
    <w:p>
      <w:pPr>
        <w:pStyle w:val="ListBullet"/>
      </w:pPr>
      <w:r>
        <w:t>Build chronological timeline clustering and episodic medical journey viewer.</w:t>
      </w:r>
    </w:p>
    <w:p>
      <w:pPr>
        <w:pStyle w:val="ListBullet"/>
      </w:pPr>
      <w:r>
        <w:t>Implement FHIR R4 Bundle serializer (Composition, MedicationRequest, Observation, Condition).</w:t>
      </w:r>
    </w:p>
    <w:p>
      <w:pPr>
        <w:pStyle w:val="ListBullet"/>
      </w:pPr>
      <w:r>
        <w:t>Perform end-to-end integration testing with MediKiosk Module A (Conversational Engine) and Module C (Summary Generator).</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Mar>
              <w:top w:w="140" w:type="dxa"/>
              <w:bottom w:w="140" w:type="dxa"/>
              <w:left w:w="200" w:type="dxa"/>
              <w:right w:w="180" w:type="dxa"/>
            </w:tcMar>
            <w:tcBorders>
              <w:top w:val="none" w:sz="0" w:space="0" w:color="auto"/>
              <w:left w:val="single" w:sz="24" w:space="0" w:color="2B6CB0"/>
              <w:bottom w:val="none" w:sz="0" w:space="0" w:color="auto"/>
              <w:right w:val="none" w:sz="0" w:space="0" w:color="auto"/>
            </w:tcBorders>
          </w:tcPr>
          <w:p>
            <w:pPr>
              <w:spacing w:after="0" w:line="276" w:lineRule="auto"/>
            </w:pPr>
            <w:r>
              <w:rPr>
                <w:b/>
                <w:color w:val="1A365D"/>
              </w:rPr>
              <w:t xml:space="preserve">Quality Benchmark &amp; Milestones: </w:t>
            </w:r>
            <w:r>
              <w:rPr>
                <w:color w:val="2D3748"/>
              </w:rPr>
              <w:t>Definition of Done for Module B: Achieving &gt;= 90% accuracy on complex handwritten prescriptions via deterministic pharmacopeia matching, 100% detection of critical out-of-range lab markers, automated Bengali/Hindi translation into standard English clinical sig codes, and zero schema validation errors against the official ABDM FHIR R4 test suite.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