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A2540"/>
          <w:sz w:val="44"/>
        </w:rPr>
        <w:t>MediKiosk — Module C Master Engineering Specification</w:t>
      </w:r>
    </w:p>
    <w:p>
      <w:pPr>
        <w:spacing w:before="0" w:after="280"/>
      </w:pPr>
      <w:r>
        <w:rPr>
          <w:rFonts w:ascii="Calibri" w:hAnsi="Calibri"/>
          <w:color w:val="4A5568"/>
          <w:sz w:val="22"/>
        </w:rPr>
        <w:t>Structured Clinical History Summary Generator, Multimodal Synthesis, Ayurvedic Dashavidha Pariksha Integration, Native FHIR R4 Dual-Coding (NAMASTE + WHO ICD-11 TM2), and Physician Verification Workspace</w:t>
      </w:r>
    </w:p>
    <w:tbl>
      <w:tblPr>
        <w:tblW w:type="auto" w:w="0"/>
        <w:jc w:val="center"/>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b/>
                <w:color w:val="0A2540"/>
                <w:sz w:val="18"/>
              </w:rPr>
              <w:t>Problem Statement</w:t>
            </w:r>
          </w:p>
        </w:tc>
        <w:tc>
          <w:tcPr>
            <w:tcW w:type="dxa" w:w="6192"/>
            <w:shd w:fill="FFFFFF"/>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8"/>
              </w:rPr>
              <w:t>SIH26047 — Patient Case-Taking Software, Ministry of Ayush / AIIA</w:t>
            </w:r>
          </w:p>
        </w:tc>
      </w:tr>
      <w:tr>
        <w:tc>
          <w:tcPr>
            <w:tcW w:type="dxa" w:w="3168"/>
            <w:shd w:fill="F0F4F8"/>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b/>
                <w:color w:val="0A2540"/>
                <w:sz w:val="18"/>
              </w:rPr>
              <w:t>System Architecture</w:t>
            </w:r>
          </w:p>
        </w:tc>
        <w:tc>
          <w:tcPr>
            <w:tcW w:type="dxa" w:w="6192"/>
            <w:shd w:fill="FFFFFF"/>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8"/>
              </w:rPr>
              <w:t>Module C Synthesis Engine (Cross-Modal Ingestion from Module A &amp; Module B)</w:t>
            </w:r>
          </w:p>
        </w:tc>
      </w:tr>
      <w:tr>
        <w:tc>
          <w:tcPr>
            <w:tcW w:type="dxa" w:w="3168"/>
            <w:shd w:fill="F0F4F8"/>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b/>
                <w:color w:val="0A2540"/>
                <w:sz w:val="18"/>
              </w:rPr>
              <w:t>Clinical Standards</w:t>
            </w:r>
          </w:p>
        </w:tc>
        <w:tc>
          <w:tcPr>
            <w:tcW w:type="dxa" w:w="6192"/>
            <w:shd w:fill="FFFFFF"/>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8"/>
              </w:rPr>
              <w:t>HL7 FHIR R4, Ministry of Ayush NAMASTE, WHO ICD-11 TM2 (Traditional Medicine Module 2), SNOMED CT, LOINC</w:t>
            </w:r>
          </w:p>
        </w:tc>
      </w:tr>
      <w:tr>
        <w:tc>
          <w:tcPr>
            <w:tcW w:type="dxa" w:w="3168"/>
            <w:shd w:fill="F0F4F8"/>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b/>
                <w:color w:val="0A2540"/>
                <w:sz w:val="18"/>
              </w:rPr>
              <w:t>Governance &amp; Privacy</w:t>
            </w:r>
          </w:p>
        </w:tc>
        <w:tc>
          <w:tcPr>
            <w:tcW w:type="dxa" w:w="6192"/>
            <w:shd w:fill="FFFFFF"/>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8"/>
              </w:rPr>
              <w:t>Digital Personal Data Protection (DPDP) Act 2023, ABDM M2/M3 Milestone Compliance, PDQI-9 Clinical Note Safety</w:t>
            </w:r>
          </w:p>
        </w:tc>
      </w:tr>
      <w:tr>
        <w:tc>
          <w:tcPr>
            <w:tcW w:type="dxa" w:w="3168"/>
            <w:shd w:fill="F0F4F8"/>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b/>
                <w:color w:val="0A2540"/>
                <w:sz w:val="18"/>
              </w:rPr>
              <w:t>Operational SLA</w:t>
            </w:r>
          </w:p>
        </w:tc>
        <w:tc>
          <w:tcPr>
            <w:tcW w:type="dxa" w:w="6192"/>
            <w:shd w:fill="FFFFFF"/>
            <w:tcMar>
              <w:top w:w="50" w:type="dxa"/>
              <w:bottom w:w="50"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8"/>
              </w:rPr>
              <w:t>Instantaneous Synthesis (&lt; 2.5s), 15-Second Clinician Review &amp; Attestation Workflow</w:t>
            </w:r>
          </w:p>
        </w:tc>
      </w:tr>
    </w:tbl>
    <w:p>
      <w:pPr>
        <w:spacing w:after="200"/>
      </w:pPr>
    </w:p>
    <w:p>
      <w:pPr>
        <w:keepNext/>
        <w:spacing w:before="320" w:after="100"/>
      </w:pPr>
      <w:r>
        <w:rPr>
          <w:rFonts w:ascii="Calibri" w:hAnsi="Calibri"/>
          <w:b/>
          <w:color w:val="0A2540"/>
          <w:sz w:val="30"/>
        </w:rPr>
        <w:t>1. Executive Summary &amp; Clinical Research Mandate</w:t>
      </w:r>
    </w:p>
    <w:p>
      <w:pPr>
        <w:spacing w:before="0" w:after="80" w:line="276" w:lineRule="auto"/>
      </w:pPr>
      <w:r>
        <w:rPr>
          <w:rFonts w:ascii="Calibri" w:hAnsi="Calibri"/>
          <w:color w:val="212529"/>
          <w:sz w:val="20"/>
        </w:rPr>
        <w:t>In high-volume public hospitals and outpatient clinics across India, outpatient department (OPD) clinicians face an overwhelming patient load, frequently conducting consultations in under 3 to 5 minutes per patient. Standard clinical case-taking—gathering Chief Complaints, History of Present Illness (HPI), past medical/surgical history, drug compliance, allergies, personal habits, and prior laboratory trends—typically consumes 70% of this limited window. This administrative bottleneck leaves minimal time for physical examination, deep diagnostic evaluation, and empathetic patient counseling.</w:t>
      </w:r>
    </w:p>
    <w:p>
      <w:pPr>
        <w:spacing w:before="0" w:after="80" w:line="276" w:lineRule="auto"/>
      </w:pPr>
      <w:r>
        <w:rPr>
          <w:rFonts w:ascii="Calibri" w:hAnsi="Calibri"/>
          <w:color w:val="212529"/>
          <w:sz w:val="20"/>
        </w:rPr>
        <w:t>MediKiosk fundamentally re-engineers this intake process by introducing an autonomous, multimodal intake station in hospital waiting areas. At the center of this pipeline is Module C: Structured History Summary Generator. Module C serves as the clinical synthesis engine, receiving structured conversational data from Module A (Voice/Speech Dialogue) and digitized medical records from Module B (OCR/Vision Document Digitizer), transforming them into a concise, standardized, physician-ready clinical draft the instant the patient enters the consultation cabin.</w:t>
      </w:r>
    </w:p>
    <w:p>
      <w:pPr>
        <w:spacing w:before="0" w:after="80" w:line="276" w:lineRule="auto"/>
      </w:pPr>
      <w:r>
        <w:rPr>
          <w:rFonts w:ascii="Calibri" w:hAnsi="Calibri"/>
          <w:color w:val="212529"/>
          <w:sz w:val="20"/>
        </w:rPr>
        <w:t>Crucially, Module C adheres to strict clinical AI safety standards. It does not operate as an autonomous diagnostic agent. Instead, it functions as a verifiable, bidirectional documentation draft layer governed by a human-in-the-loop attestation protocol.</w:t>
      </w:r>
    </w:p>
    <w:tbl>
      <w:tblPr>
        <w:tblW w:type="auto" w:w="0"/>
        <w:jc w:val="center"/>
        <w:tblLook w:firstColumn="1" w:firstRow="1" w:lastColumn="0" w:lastRow="0" w:noHBand="0" w:noVBand="1" w:val="04A0"/>
      </w:tblPr>
      <w:tblGrid>
        <w:gridCol w:w="9360"/>
      </w:tblGrid>
      <w:tr>
        <w:tc>
          <w:tcPr>
            <w:tcW w:type="dxa" w:w="9360"/>
            <w:shd w:fill="FFF5F5"/>
            <w:tcMar>
              <w:top w:w="130" w:type="dxa"/>
              <w:bottom w:w="130" w:type="dxa"/>
              <w:left w:w="180" w:type="dxa"/>
              <w:right w:w="180" w:type="dxa"/>
            </w:tcMar>
            <w:tcBorders>
              <w:top w:val="none"/>
              <w:left w:val="single" w:sz="24" w:space="0" w:color="9B1C1C"/>
              <w:bottom w:val="none"/>
              <w:right w:val="none"/>
            </w:tcBorders>
          </w:tcPr>
          <w:p>
            <w:pPr>
              <w:spacing w:before="60" w:after="60" w:line="276" w:lineRule="auto"/>
            </w:pPr>
            <w:r>
              <w:rPr>
                <w:rFonts w:ascii="Calibri" w:hAnsi="Calibri"/>
                <w:b/>
                <w:color w:val="9B1C1C"/>
                <w:sz w:val="20"/>
              </w:rPr>
              <w:t xml:space="preserve">Baseline Clinical Research Risk (PDQI-9 Hallucination Finding): </w:t>
            </w:r>
            <w:r>
              <w:rPr>
                <w:rFonts w:ascii="Calibri" w:hAnsi="Calibri"/>
                <w:color w:val="212529"/>
                <w:sz w:val="19"/>
              </w:rPr>
              <w:t>Recent 2026 clinical evaluation literature examining LLM ambient scribes across 97 outpatient encounters using the 11-parameter Physician Documentation Quality Instrument (PDQI-9) revealed that unconstrained AI models produced hallucinations in 31% of generated notes (compared to 20% in physician-drafted reference notes). While LLMs scored high in organization, they faltered in factual consistency. Module C addresses this finding through three core defenses: (1) Schema-Constrained Extraction over Free Narrative, (2) Deep Provenance Grounding with raw-source bounding-box coordinates, and (3) Non-Resolution of Cross-Modal Contradictions by Default.</w:t>
            </w:r>
          </w:p>
        </w:tc>
      </w:tr>
    </w:tbl>
    <w:p>
      <w:pPr>
        <w:spacing w:after="80"/>
      </w:pPr>
    </w:p>
    <w:p>
      <w:pPr>
        <w:keepNext/>
        <w:spacing w:before="320" w:after="100"/>
      </w:pPr>
      <w:r>
        <w:rPr>
          <w:rFonts w:ascii="Calibri" w:hAnsi="Calibri"/>
          <w:b/>
          <w:color w:val="0A2540"/>
          <w:sz w:val="30"/>
        </w:rPr>
        <w:t>2. Multimodal Synthesis Pipeline &amp; Data Reconciliation Architecture</w:t>
      </w:r>
    </w:p>
    <w:p>
      <w:pPr>
        <w:spacing w:before="0" w:after="80" w:line="276" w:lineRule="auto"/>
      </w:pPr>
      <w:r>
        <w:rPr>
          <w:rFonts w:ascii="Calibri" w:hAnsi="Calibri"/>
          <w:color w:val="212529"/>
          <w:sz w:val="20"/>
        </w:rPr>
        <w:t>Module C acts as an active reconciliation and reasoning hub. The pipeline executes across five real-time stages between kiosk interaction and physician sign-off:</w:t>
      </w:r>
    </w:p>
    <w:p>
      <w:pPr>
        <w:pStyle w:val="ListBullet"/>
        <w:spacing w:before="20" w:after="50" w:line="276" w:lineRule="auto"/>
        <w:ind w:left="360"/>
      </w:pPr>
      <w:r>
        <w:rPr>
          <w:rFonts w:ascii="Calibri" w:hAnsi="Calibri"/>
          <w:b/>
          <w:color w:val="212529"/>
          <w:sz w:val="20"/>
        </w:rPr>
        <w:t xml:space="preserve">Stage 1: Multimodal Data Ingestion &amp; Slot Alignment — </w:t>
      </w:r>
      <w:r>
        <w:rPr>
          <w:rFonts w:ascii="Calibri" w:hAnsi="Calibri"/>
          <w:color w:val="212529"/>
          <w:sz w:val="20"/>
        </w:rPr>
        <w:t>Pre-processed slots from conversational dialogue trees (Module A) capturing verbatim patient statements, normalized symptom mappings, and SOCRATES pain parameters stream over gRPC alongside structured entities from OCR/vision engines (Module B), complete with confidence tiers and bounding-box coordinates.</w:t>
      </w:r>
    </w:p>
    <w:p>
      <w:pPr>
        <w:pStyle w:val="ListBullet"/>
        <w:spacing w:before="20" w:after="50" w:line="276" w:lineRule="auto"/>
        <w:ind w:left="360"/>
      </w:pPr>
      <w:r>
        <w:rPr>
          <w:rFonts w:ascii="Calibri" w:hAnsi="Calibri"/>
          <w:b/>
          <w:color w:val="212529"/>
          <w:sz w:val="20"/>
        </w:rPr>
        <w:t xml:space="preserve">Stage 2: Cross-Modal Contradiction &amp; Gap Interception — </w:t>
      </w:r>
      <w:r>
        <w:rPr>
          <w:rFonts w:ascii="Calibri" w:hAnsi="Calibri"/>
          <w:color w:val="212529"/>
          <w:sz w:val="20"/>
        </w:rPr>
        <w:t>Before natural language synthesis, an algorithmic reconciliation engine evaluates high-risk clinical pairs across both streams (e.g., verbal medication claims vs. physical prescription scans; verbal allergy denials vs. historical discharge summaries). Surfaced discrepancies trigger interactive clarification prompts at the kiosk or generate clinician adjudication cards.</w:t>
      </w:r>
    </w:p>
    <w:p>
      <w:pPr>
        <w:pStyle w:val="ListBullet"/>
        <w:spacing w:before="20" w:after="50" w:line="276" w:lineRule="auto"/>
        <w:ind w:left="360"/>
      </w:pPr>
      <w:r>
        <w:rPr>
          <w:rFonts w:ascii="Calibri" w:hAnsi="Calibri"/>
          <w:b/>
          <w:color w:val="212529"/>
          <w:sz w:val="20"/>
        </w:rPr>
        <w:t xml:space="preserve">Stage 3: Dual-View Schema-Constrained Synthesis — </w:t>
      </w:r>
      <w:r>
        <w:rPr>
          <w:rFonts w:ascii="Calibri" w:hAnsi="Calibri"/>
          <w:color w:val="212529"/>
          <w:sz w:val="20"/>
        </w:rPr>
        <w:t>Pre-validated, aligned schema slots are injected into a zero-shot, constraint-enforced language model prompt. Parallel decoders synthesize two independent outputs: (a) a patient-facing colloquial, plain-language audio confirmation in their native regional tongue, and (b) a physician-facing standardized clinical draft in English/Hindi adhering to medical taxonomy.</w:t>
      </w:r>
    </w:p>
    <w:p>
      <w:pPr>
        <w:pStyle w:val="ListBullet"/>
        <w:spacing w:before="20" w:after="50" w:line="276" w:lineRule="auto"/>
        <w:ind w:left="360"/>
      </w:pPr>
      <w:r>
        <w:rPr>
          <w:rFonts w:ascii="Calibri" w:hAnsi="Calibri"/>
          <w:b/>
          <w:color w:val="212529"/>
          <w:sz w:val="20"/>
        </w:rPr>
        <w:t xml:space="preserve">Stage 4: Point-of-Care Consultation Screen Presentation — </w:t>
      </w:r>
      <w:r>
        <w:rPr>
          <w:rFonts w:ascii="Calibri" w:hAnsi="Calibri"/>
          <w:color w:val="212529"/>
          <w:sz w:val="20"/>
        </w:rPr>
        <w:t>While the patient listens to and confirms their audio workup at the kiosk screen before collecting their token, the generated draft appears instantly on the clinician's dashboard as the patient enters the cabin. Every section is rendered with an audit status: 'Draft / Unverified'.</w:t>
      </w:r>
    </w:p>
    <w:p>
      <w:pPr>
        <w:pStyle w:val="ListBullet"/>
        <w:spacing w:before="20" w:after="50" w:line="276" w:lineRule="auto"/>
        <w:ind w:left="360"/>
      </w:pPr>
      <w:r>
        <w:rPr>
          <w:rFonts w:ascii="Calibri" w:hAnsi="Calibri"/>
          <w:b/>
          <w:color w:val="212529"/>
          <w:sz w:val="20"/>
        </w:rPr>
        <w:t xml:space="preserve">Stage 5: Physician Adjudication, Inline Editing &amp; Attestation — </w:t>
      </w:r>
      <w:r>
        <w:rPr>
          <w:rFonts w:ascii="Calibri" w:hAnsi="Calibri"/>
          <w:color w:val="212529"/>
          <w:sz w:val="20"/>
        </w:rPr>
        <w:t>The physician reviews the 8-part summary, clicks any uncertain claim to trigger the Source Drill-Down Drawer (viewing original transcript audio or high-resolution document image crops), adjudicates contradictions, and executes a cryptographically signed Attestation. The finalized record is then serialized into standard HL7 FHIR Bundle resources for ABDM integration.</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70" w:type="dxa"/>
              <w:bottom w:w="70" w:type="dxa"/>
              <w:left w:w="90" w:type="dxa"/>
              <w:right w:w="90" w:type="dxa"/>
            </w:tcMar>
          </w:tcPr>
          <w:p>
            <w:r>
              <w:rPr>
                <w:rFonts w:ascii="Calibri" w:hAnsi="Calibri"/>
                <w:b/>
                <w:color w:val="FFFFFF"/>
                <w:sz w:val="18"/>
              </w:rPr>
              <w:t>Workflow Gate</w:t>
            </w:r>
          </w:p>
        </w:tc>
        <w:tc>
          <w:tcPr>
            <w:tcW w:type="dxa" w:w="3120"/>
            <w:shd w:fill="0A2540"/>
            <w:tcMar>
              <w:top w:w="70" w:type="dxa"/>
              <w:bottom w:w="70" w:type="dxa"/>
              <w:left w:w="90" w:type="dxa"/>
              <w:right w:w="90" w:type="dxa"/>
            </w:tcMar>
          </w:tcPr>
          <w:p>
            <w:r>
              <w:rPr>
                <w:rFonts w:ascii="Calibri" w:hAnsi="Calibri"/>
                <w:b/>
                <w:color w:val="FFFFFF"/>
                <w:sz w:val="18"/>
              </w:rPr>
              <w:t>Underlying Tech Stack &amp; Mechanism</w:t>
            </w:r>
          </w:p>
        </w:tc>
        <w:tc>
          <w:tcPr>
            <w:tcW w:type="dxa" w:w="3120"/>
            <w:shd w:fill="0A2540"/>
            <w:tcMar>
              <w:top w:w="70" w:type="dxa"/>
              <w:bottom w:w="70" w:type="dxa"/>
              <w:left w:w="90" w:type="dxa"/>
              <w:right w:w="90" w:type="dxa"/>
            </w:tcMar>
          </w:tcPr>
          <w:p>
            <w:r>
              <w:rPr>
                <w:rFonts w:ascii="Calibri" w:hAnsi="Calibri"/>
                <w:b/>
                <w:color w:val="FFFFFF"/>
                <w:sz w:val="18"/>
              </w:rPr>
              <w:t>Clinical Safety &amp; Governance Action</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1. Ingestion &amp; Alignment</w:t>
            </w:r>
          </w:p>
        </w:tc>
        <w:tc>
          <w:tcPr>
            <w:tcW w:type="dxa" w:w="331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FastAPI, Pydantic V2, gRPC Stream</w:t>
            </w:r>
          </w:p>
        </w:tc>
        <w:tc>
          <w:tcPr>
            <w:tcW w:type="dxa" w:w="345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Strict typing; rejects ungrounded payloads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2. Conflict Interception</w:t>
            </w:r>
          </w:p>
        </w:tc>
        <w:tc>
          <w:tcPr>
            <w:tcW w:type="dxa" w:w="331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Deterministic Python Rule-Engine + Fuzzy Match</w:t>
            </w:r>
          </w:p>
        </w:tc>
        <w:tc>
          <w:tcPr>
            <w:tcW w:type="dxa" w:w="345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Surfaces mismatches; prevents silent AI guessing</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3. Dual-View Generation</w:t>
            </w:r>
          </w:p>
        </w:tc>
        <w:tc>
          <w:tcPr>
            <w:tcW w:type="dxa" w:w="331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LLaMA-3-70B / Med-Gemma-2-9B (vLLM Engine)</w:t>
            </w:r>
          </w:p>
        </w:tc>
        <w:tc>
          <w:tcPr>
            <w:tcW w:type="dxa" w:w="345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Schema-only rendering; no autonomous diagnosis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4. Patient Audio Review</w:t>
            </w:r>
          </w:p>
        </w:tc>
        <w:tc>
          <w:tcPr>
            <w:tcW w:type="dxa" w:w="331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FastAPI TTS / Kokoro-82M / Azure Speech</w:t>
            </w:r>
          </w:p>
        </w:tc>
        <w:tc>
          <w:tcPr>
            <w:tcW w:type="dxa" w:w="345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Empowers patient to catch speech/intake errors</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5. Clinician Attestation</w:t>
            </w:r>
          </w:p>
        </w:tc>
        <w:tc>
          <w:tcPr>
            <w:tcW w:type="dxa" w:w="331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React / Next.js Consultation Screen + FHIR Engine</w:t>
            </w:r>
          </w:p>
        </w:tc>
        <w:tc>
          <w:tcPr>
            <w:tcW w:type="dxa" w:w="345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Converts unverified draft into legal clinical record</w:t>
            </w:r>
          </w:p>
        </w:tc>
      </w:tr>
    </w:tbl>
    <w:p>
      <w:pPr>
        <w:spacing w:after="160"/>
      </w:pPr>
    </w:p>
    <w:p>
      <w:pPr>
        <w:keepNext/>
        <w:spacing w:before="320" w:after="100"/>
      </w:pPr>
      <w:r>
        <w:rPr>
          <w:rFonts w:ascii="Calibri" w:hAnsi="Calibri"/>
          <w:b/>
          <w:color w:val="0A2540"/>
          <w:sz w:val="30"/>
        </w:rPr>
        <w:t>3. Standard 8-Part Clinical Format Specification</w:t>
      </w:r>
    </w:p>
    <w:p>
      <w:pPr>
        <w:spacing w:before="0" w:after="80" w:line="276" w:lineRule="auto"/>
      </w:pPr>
      <w:r>
        <w:rPr>
          <w:rFonts w:ascii="Calibri" w:hAnsi="Calibri"/>
          <w:color w:val="212529"/>
          <w:sz w:val="20"/>
        </w:rPr>
        <w:t>To maximize clinical cognitive efficiency, Module C enforces a strict, universal clinical structure. Every clinical intake is organized sequentially according to standard clinical documentation guidelines:</w:t>
      </w:r>
    </w:p>
    <w:tbl>
      <w:tblPr>
        <w:tblW w:type="auto" w:w="0"/>
        <w:jc w:val="center"/>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top w:val="none"/>
              <w:left w:val="single" w:sz="24" w:space="0" w:color="0A2540"/>
              <w:bottom w:val="none"/>
              <w:right w:val="none"/>
            </w:tcBorders>
          </w:tcPr>
          <w:p>
            <w:pPr>
              <w:spacing w:before="60" w:after="60" w:line="276" w:lineRule="auto"/>
            </w:pPr>
            <w:r>
              <w:rPr>
                <w:rFonts w:ascii="Calibri" w:hAnsi="Calibri"/>
                <w:b/>
                <w:color w:val="0A2540"/>
                <w:sz w:val="20"/>
              </w:rPr>
              <w:t xml:space="preserve">Standard Clinical Sequencing Rule: </w:t>
            </w:r>
            <w:r>
              <w:rPr>
                <w:rFonts w:ascii="Calibri" w:hAnsi="Calibri"/>
                <w:color w:val="212529"/>
                <w:sz w:val="19"/>
              </w:rPr>
              <w:t>Chief Complaint → History of Present Illness (HPI) → Past Medical / Surgical History → Drug &amp; Allergy History → Family History → Personal / Social History → Review of Systems (ROS) → Prior Investigations Summary</w:t>
            </w:r>
          </w:p>
        </w:tc>
      </w:tr>
    </w:tbl>
    <w:p>
      <w:pPr>
        <w:spacing w:after="80"/>
      </w:pPr>
    </w:p>
    <w:tbl>
      <w:tblPr>
        <w:tblW w:type="auto" w:w="0"/>
        <w:jc w:val="center"/>
        <w:tblLook w:firstColumn="1" w:firstRow="1" w:lastColumn="0" w:lastRow="0" w:noHBand="0" w:noVBand="1" w:val="04A0"/>
      </w:tblPr>
      <w:tblGrid>
        <w:gridCol w:w="3120"/>
        <w:gridCol w:w="3120"/>
        <w:gridCol w:w="3120"/>
      </w:tblGrid>
      <w:tr>
        <w:tc>
          <w:tcPr>
            <w:tcW w:type="dxa" w:w="3120"/>
            <w:shd w:fill="0A2540"/>
            <w:tcMar>
              <w:top w:w="70" w:type="dxa"/>
              <w:bottom w:w="70" w:type="dxa"/>
              <w:left w:w="90" w:type="dxa"/>
              <w:right w:w="90" w:type="dxa"/>
            </w:tcMar>
          </w:tcPr>
          <w:p>
            <w:r>
              <w:rPr>
                <w:rFonts w:ascii="Calibri" w:hAnsi="Calibri"/>
                <w:b/>
                <w:color w:val="FFFFFF"/>
                <w:sz w:val="18"/>
              </w:rPr>
              <w:t>Clinical Section</w:t>
            </w:r>
          </w:p>
        </w:tc>
        <w:tc>
          <w:tcPr>
            <w:tcW w:type="dxa" w:w="3120"/>
            <w:shd w:fill="0A2540"/>
            <w:tcMar>
              <w:top w:w="70" w:type="dxa"/>
              <w:bottom w:w="70" w:type="dxa"/>
              <w:left w:w="90" w:type="dxa"/>
              <w:right w:w="90" w:type="dxa"/>
            </w:tcMar>
          </w:tcPr>
          <w:p>
            <w:r>
              <w:rPr>
                <w:rFonts w:ascii="Calibri" w:hAnsi="Calibri"/>
                <w:b/>
                <w:color w:val="FFFFFF"/>
                <w:sz w:val="18"/>
              </w:rPr>
              <w:t>Primary Upstream Source</w:t>
            </w:r>
          </w:p>
        </w:tc>
        <w:tc>
          <w:tcPr>
            <w:tcW w:type="dxa" w:w="3120"/>
            <w:shd w:fill="0A2540"/>
            <w:tcMar>
              <w:top w:w="70" w:type="dxa"/>
              <w:bottom w:w="70" w:type="dxa"/>
              <w:left w:w="90" w:type="dxa"/>
              <w:right w:w="90" w:type="dxa"/>
            </w:tcMar>
          </w:tcPr>
          <w:p>
            <w:r>
              <w:rPr>
                <w:rFonts w:ascii="Calibri" w:hAnsi="Calibri"/>
                <w:b/>
                <w:color w:val="FFFFFF"/>
                <w:sz w:val="18"/>
              </w:rPr>
              <w:t>Extraction &amp; Transformation Guardrails</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1. Chief Complaint</w:t>
            </w:r>
          </w:p>
        </w:tc>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entry node</w:t>
            </w:r>
          </w:p>
        </w:tc>
        <w:tc>
          <w:tcPr>
            <w:tcW w:type="dxa" w:w="417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Verbatim-derived symptom label normalized to standard medical terminology. Never inferred from associated secondary complaints.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2. History of Present Illness (HPI)</w:t>
            </w:r>
          </w:p>
        </w:tc>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SOCRATES Branch</w:t>
            </w:r>
          </w:p>
        </w:tc>
        <w:tc>
          <w:tcPr>
            <w:tcW w:type="dxa" w:w="417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Structured chronologically via Site, Onset, Character, Radiation, Associations, Timing, Exacerbating factors, Severity (1-10). Unasked fields marked 'Unknown'.</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3. Past Medical &amp; Surgical</w:t>
            </w:r>
          </w:p>
        </w:tc>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 Module B Records</w:t>
            </w:r>
          </w:p>
        </w:tc>
        <w:tc>
          <w:tcPr>
            <w:tcW w:type="dxa" w:w="417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Chronological bulleted conditions and past procedures. Every entry explicitly tagged: [Patient-Reported] vs [Document-Corroborated].</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4. Drug &amp; Allergy History</w:t>
            </w:r>
          </w:p>
        </w:tc>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 Module B Prescription</w:t>
            </w:r>
          </w:p>
        </w:tc>
        <w:tc>
          <w:tcPr>
            <w:tcW w:type="dxa" w:w="417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Highest-risk section. Contains drug name, dosage, frequency, compliance, and adverse drug reactions. Includes provenance confidence tier.</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5. Family History</w:t>
            </w:r>
          </w:p>
        </w:tc>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Direct Inquiry</w:t>
            </w:r>
          </w:p>
        </w:tc>
        <w:tc>
          <w:tcPr>
            <w:tcW w:type="dxa" w:w="417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First-degree relative history of hereditary diseases (CAD, Diabetes, Malignancy). Empty templates are suppressed rather than populated with assumptions.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6. Personal / Social</w:t>
            </w:r>
          </w:p>
        </w:tc>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Lifestyle Nodes</w:t>
            </w:r>
          </w:p>
        </w:tc>
        <w:tc>
          <w:tcPr>
            <w:tcW w:type="dxa" w:w="417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Dietary patterns, smoking pack-years, alcohol units, occupation, sleep cycles, bowel/bladder habits. Preserves cultural lifestyle context.</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7. Review of Systems (ROS)</w:t>
            </w:r>
          </w:p>
        </w:tc>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Dynamic Sub-Trees</w:t>
            </w:r>
          </w:p>
        </w:tc>
        <w:tc>
          <w:tcPr>
            <w:tcW w:type="dxa" w:w="417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Targeted 12-system review triggered strictly by primary symptom profile. Presented as a finite evaluated subset; never implied as exhaustive.</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8. Prior Investigations</w:t>
            </w:r>
          </w:p>
        </w:tc>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B OCR / Vision Pipeline</w:t>
            </w:r>
          </w:p>
        </w:tc>
        <w:tc>
          <w:tcPr>
            <w:tcW w:type="dxa" w:w="417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Tabular timeline of previous hematology, biochemistry, and imaging reports. Pathological abnormal flags (LOW/HIGH) highlighted with scan coordinates.</w:t>
            </w:r>
          </w:p>
        </w:tc>
      </w:tr>
    </w:tbl>
    <w:p>
      <w:pPr>
        <w:spacing w:after="160"/>
      </w:pPr>
    </w:p>
    <w:p>
      <w:pPr>
        <w:keepNext/>
        <w:spacing w:before="320" w:after="100"/>
      </w:pPr>
      <w:r>
        <w:rPr>
          <w:rFonts w:ascii="Calibri" w:hAnsi="Calibri"/>
          <w:b/>
          <w:color w:val="0A2540"/>
          <w:sz w:val="30"/>
        </w:rPr>
        <w:t>4. Ayurveda &amp; Dashavidha Pariksha Clinical Synthesis</w:t>
      </w:r>
    </w:p>
    <w:p>
      <w:pPr>
        <w:spacing w:before="0" w:after="80" w:line="276" w:lineRule="auto"/>
      </w:pPr>
      <w:r>
        <w:rPr>
          <w:rFonts w:ascii="Calibri" w:hAnsi="Calibri"/>
          <w:color w:val="212529"/>
          <w:sz w:val="20"/>
        </w:rPr>
        <w:t>In compliance with Ministry of Ayush / AIIA standards for integrated and Ayurvedic OPDs, Module C synthesizes patient intake data into the classical 10-fold clinical examination framework (Dashavidha Pariksha). This allows Ayurvedic physicians to evaluate etiopathogenesis (Nidana-Samprapti) instantly without repeating basic intake inquiries:</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70" w:type="dxa"/>
              <w:bottom w:w="70" w:type="dxa"/>
              <w:left w:w="90" w:type="dxa"/>
              <w:right w:w="90" w:type="dxa"/>
            </w:tcMar>
          </w:tcPr>
          <w:p>
            <w:r>
              <w:rPr>
                <w:rFonts w:ascii="Calibri" w:hAnsi="Calibri"/>
                <w:b/>
                <w:color w:val="FFFFFF"/>
                <w:sz w:val="18"/>
              </w:rPr>
              <w:t>Ayurvedic Parameter</w:t>
            </w:r>
          </w:p>
        </w:tc>
        <w:tc>
          <w:tcPr>
            <w:tcW w:type="dxa" w:w="3120"/>
            <w:shd w:fill="0A2540"/>
            <w:tcMar>
              <w:top w:w="70" w:type="dxa"/>
              <w:bottom w:w="70" w:type="dxa"/>
              <w:left w:w="90" w:type="dxa"/>
              <w:right w:w="90" w:type="dxa"/>
            </w:tcMar>
          </w:tcPr>
          <w:p>
            <w:r>
              <w:rPr>
                <w:rFonts w:ascii="Calibri" w:hAnsi="Calibri"/>
                <w:b/>
                <w:color w:val="FFFFFF"/>
                <w:sz w:val="18"/>
              </w:rPr>
              <w:t>Data Extraction Source</w:t>
            </w:r>
          </w:p>
        </w:tc>
        <w:tc>
          <w:tcPr>
            <w:tcW w:type="dxa" w:w="3120"/>
            <w:shd w:fill="0A2540"/>
            <w:tcMar>
              <w:top w:w="70" w:type="dxa"/>
              <w:bottom w:w="70" w:type="dxa"/>
              <w:left w:w="90" w:type="dxa"/>
              <w:right w:w="90" w:type="dxa"/>
            </w:tcMar>
          </w:tcPr>
          <w:p>
            <w:r>
              <w:rPr>
                <w:rFonts w:ascii="Calibri" w:hAnsi="Calibri"/>
                <w:b/>
                <w:color w:val="FFFFFF"/>
                <w:sz w:val="18"/>
              </w:rPr>
              <w:t>Clinical Meaning &amp; Synthesized Output</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1. Prakriti &amp; Vikriti</w:t>
            </w:r>
          </w:p>
        </w:tc>
        <w:tc>
          <w:tcPr>
            <w:tcW w:type="dxa" w:w="3024"/>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Ayurvedic questionnaire &amp; phenotypic feature triage</w:t>
            </w:r>
          </w:p>
        </w:tc>
        <w:tc>
          <w:tcPr>
            <w:tcW w:type="dxa" w:w="3744"/>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Baseline psychosomatic constitution (Vata/Pitta/Kapha) vs. active state of doshic imbalance and vitiation.</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2. Agni &amp; Koshtha</w:t>
            </w:r>
          </w:p>
        </w:tc>
        <w:tc>
          <w:tcPr>
            <w:tcW w:type="dxa" w:w="3024"/>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dietary appetite &amp; digestive inquiries</w:t>
            </w:r>
          </w:p>
        </w:tc>
        <w:tc>
          <w:tcPr>
            <w:tcW w:type="dxa" w:w="3744"/>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Digestive fire classification (Manda/Tikshna/Visham/Sama Agni) and bowel motility (Krura/Mrida/Madhyama Koshtha).</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3. Bala &amp; Dhatu Sarata</w:t>
            </w:r>
          </w:p>
        </w:tc>
        <w:tc>
          <w:tcPr>
            <w:tcW w:type="dxa" w:w="3024"/>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 Module B functional physical markers</w:t>
            </w:r>
          </w:p>
        </w:tc>
        <w:tc>
          <w:tcPr>
            <w:tcW w:type="dxa" w:w="3744"/>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Physical endurance (Vyayama Shakti), metabolic strength, and tissue excellence assessment.</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4. Ahara &amp; Vihara Shakti</w:t>
            </w:r>
          </w:p>
        </w:tc>
        <w:tc>
          <w:tcPr>
            <w:tcW w:type="dxa" w:w="3024"/>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Module A lifestyle, diet, circadian routine questions</w:t>
            </w:r>
          </w:p>
        </w:tc>
        <w:tc>
          <w:tcPr>
            <w:tcW w:type="dxa" w:w="3744"/>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Nutritional intake capacity, dietary habits (Pathya/Apathya), sleep quality, and daily stress factors.</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5. Desha, Kala &amp; Satmya</w:t>
            </w:r>
          </w:p>
        </w:tc>
        <w:tc>
          <w:tcPr>
            <w:tcW w:type="dxa" w:w="3024"/>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Geographical habitat, current season (Ritu), habituation</w:t>
            </w:r>
          </w:p>
        </w:tc>
        <w:tc>
          <w:tcPr>
            <w:tcW w:type="dxa" w:w="3744"/>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Regional ecological factors, seasonal disease exacerbation, and constitutional adaptabilities.</w:t>
            </w:r>
          </w:p>
        </w:tc>
      </w:tr>
    </w:tbl>
    <w:p>
      <w:pPr>
        <w:spacing w:after="160"/>
      </w:pPr>
    </w:p>
    <w:p>
      <w:pPr>
        <w:keepNext/>
        <w:spacing w:before="320" w:after="100"/>
      </w:pPr>
      <w:r>
        <w:rPr>
          <w:rFonts w:ascii="Calibri" w:hAnsi="Calibri"/>
          <w:b/>
          <w:color w:val="0A2540"/>
          <w:sz w:val="30"/>
        </w:rPr>
        <w:t>5. Native HL7 FHIR R4 Dual-Coding Engine (NAMASTE + WHO ICD-11 TM2)</w:t>
      </w:r>
    </w:p>
    <w:p>
      <w:pPr>
        <w:spacing w:before="0" w:after="80" w:line="276" w:lineRule="auto"/>
      </w:pPr>
      <w:r>
        <w:rPr>
          <w:rFonts w:ascii="Calibri" w:hAnsi="Calibri"/>
          <w:color w:val="212529"/>
          <w:sz w:val="20"/>
        </w:rPr>
        <w:t>A standout architectural differentiator of Module C is its Native FHIR R4 Dual-Coding Engine. To enable seamless interoperability between traditional AYUSH systems and modern electronic medical records, every clinical finding, symptom, and diagnosis is concurrently dual-coded within standard FHIR R4 CodeableConcept structures:</w:t>
      </w:r>
    </w:p>
    <w:p>
      <w:pPr>
        <w:pStyle w:val="ListBullet"/>
        <w:spacing w:before="20" w:after="50" w:line="276" w:lineRule="auto"/>
        <w:ind w:left="360"/>
      </w:pPr>
      <w:r>
        <w:rPr>
          <w:rFonts w:ascii="Calibri" w:hAnsi="Calibri"/>
          <w:b/>
          <w:color w:val="212529"/>
          <w:sz w:val="20"/>
        </w:rPr>
        <w:t xml:space="preserve">1. Ministry of Ayush NAMASTE — </w:t>
      </w:r>
      <w:r>
        <w:rPr>
          <w:rFonts w:ascii="Calibri" w:hAnsi="Calibri"/>
          <w:color w:val="212529"/>
          <w:sz w:val="20"/>
        </w:rPr>
        <w:t>National AYUSH Morbidity and Standardized Terminologies Electronic Portal (http://namstp.ayush.gov.in/fhir/CodeSystem/namaste).</w:t>
      </w:r>
    </w:p>
    <w:p>
      <w:pPr>
        <w:pStyle w:val="ListBullet"/>
        <w:spacing w:before="20" w:after="50" w:line="276" w:lineRule="auto"/>
        <w:ind w:left="360"/>
      </w:pPr>
      <w:r>
        <w:rPr>
          <w:rFonts w:ascii="Calibri" w:hAnsi="Calibri"/>
          <w:b/>
          <w:color w:val="212529"/>
          <w:sz w:val="20"/>
        </w:rPr>
        <w:t xml:space="preserve">2. WHO ICD-11 TM2 — </w:t>
      </w:r>
      <w:r>
        <w:rPr>
          <w:rFonts w:ascii="Calibri" w:hAnsi="Calibri"/>
          <w:color w:val="212529"/>
          <w:sz w:val="20"/>
        </w:rPr>
        <w:t>Chapter 26 (Traditional Medicine conditions - Module 2) (http://id.who.int/icd/release/11/mms).</w:t>
      </w:r>
    </w:p>
    <w:p>
      <w:pPr>
        <w:pStyle w:val="ListBullet"/>
        <w:spacing w:before="20" w:after="50" w:line="276" w:lineRule="auto"/>
        <w:ind w:left="360"/>
      </w:pPr>
      <w:r>
        <w:rPr>
          <w:rFonts w:ascii="Calibri" w:hAnsi="Calibri"/>
          <w:b/>
          <w:color w:val="212529"/>
          <w:sz w:val="20"/>
        </w:rPr>
        <w:t xml:space="preserve">3. Modern Biomedicine Standard — </w:t>
      </w:r>
      <w:r>
        <w:rPr>
          <w:rFonts w:ascii="Calibri" w:hAnsi="Calibri"/>
          <w:color w:val="212529"/>
          <w:sz w:val="20"/>
        </w:rPr>
        <w:t>SNOMED CT clinical terms (http://snomed.info/sct) and ICD-11 Mortality and Morbidity Statistics (MMS).</w:t>
      </w:r>
    </w:p>
    <w:p>
      <w:pPr>
        <w:spacing w:before="0" w:after="80" w:line="276" w:lineRule="auto"/>
      </w:pPr>
      <w:r>
        <w:rPr>
          <w:rFonts w:ascii="Calibri" w:hAnsi="Calibri"/>
          <w:color w:val="212529"/>
          <w:sz w:val="20"/>
        </w:rPr>
        <w:t>Below is an actual production-ready FHIR R4 JSON snippet demonstrating the dual-coded representation of an Ayurvedic clinical finding (Amlapitta / Non-Ulcer Functional Dyspepsia):</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40" w:after="40" w:line="252" w:lineRule="auto"/>
            </w:pPr>
            <w:r>
              <w:rPr>
                <w:rFonts w:ascii="Consolas" w:hAnsi="Consolas"/>
                <w:color w:val="1E293B"/>
                <w:sz w:val="17"/>
              </w:rPr>
              <w:t>{</w:t>
              <w:br/>
              <w:t xml:space="preserve">  "resourceType": "Condition",</w:t>
              <w:br/>
              <w:t xml:space="preserve">  "id": "medikiosk-cond-9942-01",</w:t>
              <w:br/>
              <w:t xml:space="preserve">  "clinicalStatus": {</w:t>
              <w:br/>
              <w:t xml:space="preserve">    "coding": [{</w:t>
              <w:br/>
              <w:t xml:space="preserve">      "system": "http://terminology.hl7.org/CodeSystem/condition-clinical",</w:t>
              <w:br/>
              <w:t xml:space="preserve">      "code": "active",</w:t>
              <w:br/>
              <w:t xml:space="preserve">      "display": "Active"</w:t>
              <w:br/>
              <w:t xml:space="preserve">    }]</w:t>
              <w:br/>
              <w:t xml:space="preserve">  },</w:t>
              <w:br/>
              <w:t xml:space="preserve">  "verificationStatus": {</w:t>
              <w:br/>
              <w:t xml:space="preserve">    "coding": [{</w:t>
              <w:br/>
              <w:t xml:space="preserve">      "system": "http://terminology.hl7.org/CodeSystem/condition-ver-status",</w:t>
              <w:br/>
              <w:t xml:space="preserve">      "code": "provisional",</w:t>
              <w:br/>
              <w:t xml:space="preserve">      "display": "Provisional / Intake Draft"</w:t>
              <w:br/>
              <w:t xml:space="preserve">    }]</w:t>
              <w:br/>
              <w:t xml:space="preserve">  },</w:t>
              <w:br/>
              <w:t xml:space="preserve">  "category": [{</w:t>
              <w:br/>
              <w:t xml:space="preserve">    "coding": [{</w:t>
              <w:br/>
              <w:t xml:space="preserve">      "system": "http://terminology.hl7.org/CodeSystem/condition-category",</w:t>
              <w:br/>
              <w:t xml:space="preserve">      "code": "encounter-diagnosis",</w:t>
              <w:br/>
              <w:t xml:space="preserve">      "display": "Encounter Diagnosis"</w:t>
              <w:br/>
              <w:t xml:space="preserve">    }]</w:t>
              <w:br/>
              <w:t xml:space="preserve">  }],</w:t>
              <w:br/>
              <w:t xml:space="preserve">  "code": {</w:t>
              <w:br/>
              <w:t xml:space="preserve">    "coding": [</w:t>
              <w:br/>
              <w:t xml:space="preserve">      {</w:t>
              <w:br/>
              <w:t xml:space="preserve">        "system": "http://namstp.ayush.gov.in/fhir/CodeSystem/namaste",</w:t>
              <w:br/>
              <w:t xml:space="preserve">        "code": "AYU-DG-0142",</w:t>
              <w:br/>
              <w:t xml:space="preserve">        "display": "Amlapitta (Vidagdha Pitta / Hyperacidity)"</w:t>
              <w:br/>
              <w:t xml:space="preserve">      },</w:t>
              <w:br/>
              <w:t xml:space="preserve">      {</w:t>
              <w:br/>
              <w:t xml:space="preserve">        "system": "http://id.who.int/icd/release/11/mms",</w:t>
              <w:br/>
              <w:t xml:space="preserve">        "code": "TM2-SD-8812",</w:t>
              <w:br/>
              <w:t xml:space="preserve">        "display": "Disorder of Agni with Pitta Vitiation (WHO TM2 Chapter 26)"</w:t>
              <w:br/>
              <w:t xml:space="preserve">      },</w:t>
              <w:br/>
              <w:t xml:space="preserve">      {</w:t>
              <w:br/>
              <w:t xml:space="preserve">        "system": "http://snomed.info/sct",</w:t>
              <w:br/>
              <w:t xml:space="preserve">        "code": "196727004",</w:t>
              <w:br/>
              <w:t xml:space="preserve">        "display": "Functional Dyspepsia / Hyperacidity (Modern Biomedicine)"</w:t>
              <w:br/>
              <w:t xml:space="preserve">      }</w:t>
              <w:br/>
              <w:t xml:space="preserve">    ],</w:t>
              <w:br/>
              <w:t xml:space="preserve">    "text": "Amlapitta / Severe Functional Dyspepsia with Pitta Dominance"</w:t>
              <w:br/>
              <w:t xml:space="preserve">  },</w:t>
              <w:br/>
              <w:t xml:space="preserve">  "subject": {</w:t>
              <w:br/>
              <w:t xml:space="preserve">    "reference": "Patient/ABHA-91-4821-9921-0012",</w:t>
              <w:br/>
              <w:t xml:space="preserve">    "display": "Ramesh Kumar Sharma"</w:t>
              <w:br/>
              <w:t xml:space="preserve">  },</w:t>
              <w:br/>
              <w:t xml:space="preserve">  "recordedDate": "2026-09-17T14:35:00+05:30"</w:t>
              <w:br/>
              <w:t>}</w:t>
            </w:r>
          </w:p>
        </w:tc>
      </w:tr>
    </w:tbl>
    <w:p>
      <w:pPr>
        <w:spacing w:after="80"/>
      </w:pPr>
    </w:p>
    <w:p>
      <w:pPr>
        <w:keepNext/>
        <w:spacing w:before="320" w:after="100"/>
      </w:pPr>
      <w:r>
        <w:rPr>
          <w:rFonts w:ascii="Calibri" w:hAnsi="Calibri"/>
          <w:b/>
          <w:color w:val="0A2540"/>
          <w:sz w:val="30"/>
        </w:rPr>
        <w:t>6. Deterministic Contradiction Detection &amp; Deep Provenance</w:t>
      </w:r>
    </w:p>
    <w:p>
      <w:pPr>
        <w:spacing w:before="0" w:after="80" w:line="276" w:lineRule="auto"/>
      </w:pPr>
      <w:r>
        <w:rPr>
          <w:rFonts w:ascii="Calibri" w:hAnsi="Calibri"/>
          <w:color w:val="212529"/>
          <w:sz w:val="20"/>
        </w:rPr>
        <w:t>Module C eliminates silent AI guesswork by deploying deterministic conflict reconciliation algorithms that compare spoken statements against scanned physical documents:</w:t>
      </w:r>
    </w:p>
    <w:p>
      <w:pPr>
        <w:keepNext/>
        <w:spacing w:before="240" w:after="60"/>
      </w:pPr>
      <w:r>
        <w:rPr>
          <w:rFonts w:ascii="Calibri" w:hAnsi="Calibri"/>
          <w:b/>
          <w:color w:val="4A5568"/>
          <w:sz w:val="24"/>
        </w:rPr>
        <w:t>6.1 Cross-Modal Discrepancy Reconciliation Rule</w:t>
      </w:r>
    </w:p>
    <w:p>
      <w:pPr>
        <w:spacing w:before="0" w:after="80" w:line="276" w:lineRule="auto"/>
      </w:pPr>
      <w:r>
        <w:rPr>
          <w:rFonts w:ascii="Calibri" w:hAnsi="Calibri"/>
          <w:color w:val="212529"/>
          <w:sz w:val="20"/>
        </w:rPr>
        <w:t>When cross-referencing patient speech against historical documents, discrepancies inevitably arise. Standard LLMs attempt to smooth over conflicts or guess which source is correct. Module C enforces Non-Resolution by Default: both values are preserved, and an explicit AMBER adjudication banner is displayed to the clinician.</w:t>
      </w:r>
    </w:p>
    <w:p>
      <w:pPr>
        <w:pStyle w:val="ListBullet"/>
        <w:spacing w:before="20" w:after="50" w:line="276" w:lineRule="auto"/>
        <w:ind w:left="360"/>
      </w:pPr>
      <w:r>
        <w:rPr>
          <w:rFonts w:ascii="Calibri" w:hAnsi="Calibri"/>
          <w:b/>
          <w:color w:val="212529"/>
          <w:sz w:val="20"/>
        </w:rPr>
        <w:t xml:space="preserve">Verbal Statement:  </w:t>
      </w:r>
      <w:r>
        <w:rPr>
          <w:rFonts w:ascii="Calibri" w:hAnsi="Calibri"/>
          <w:color w:val="212529"/>
          <w:sz w:val="20"/>
        </w:rPr>
        <w:t>Patient verbally states: 'I have no known drug allergies.'</w:t>
      </w:r>
    </w:p>
    <w:p>
      <w:pPr>
        <w:pStyle w:val="ListBullet"/>
        <w:spacing w:before="20" w:after="50" w:line="276" w:lineRule="auto"/>
        <w:ind w:left="360"/>
      </w:pPr>
      <w:r>
        <w:rPr>
          <w:rFonts w:ascii="Calibri" w:hAnsi="Calibri"/>
          <w:b/>
          <w:color w:val="212529"/>
          <w:sz w:val="20"/>
        </w:rPr>
        <w:t xml:space="preserve">Document Scan:  </w:t>
      </w:r>
      <w:r>
        <w:rPr>
          <w:rFonts w:ascii="Calibri" w:hAnsi="Calibri"/>
          <w:color w:val="212529"/>
          <w:sz w:val="20"/>
        </w:rPr>
        <w:t>Scanned discharge summary reads: 'Severe Penicillin anaphylaxis noted in 2021.'</w:t>
      </w:r>
    </w:p>
    <w:p>
      <w:pPr>
        <w:pStyle w:val="ListBullet"/>
        <w:spacing w:before="20" w:after="50" w:line="276" w:lineRule="auto"/>
        <w:ind w:left="360"/>
      </w:pPr>
      <w:r>
        <w:rPr>
          <w:rFonts w:ascii="Calibri" w:hAnsi="Calibri"/>
          <w:b/>
          <w:color w:val="212529"/>
          <w:sz w:val="20"/>
        </w:rPr>
        <w:t xml:space="preserve">System Behavior:  </w:t>
      </w:r>
      <w:r>
        <w:rPr>
          <w:rFonts w:ascii="Calibri" w:hAnsi="Calibri"/>
          <w:color w:val="212529"/>
          <w:sz w:val="20"/>
        </w:rPr>
        <w:t>The engine flags a high-priority contradiction alert. The physician is presented with 1-click adjudication buttons ('Accept Scanned Document', 'Accept Patient Verbal', or 'Add Clinical Note').</w:t>
      </w:r>
    </w:p>
    <w:p>
      <w:pPr>
        <w:keepNext/>
        <w:spacing w:before="240" w:after="60"/>
      </w:pPr>
      <w:r>
        <w:rPr>
          <w:rFonts w:ascii="Calibri" w:hAnsi="Calibri"/>
          <w:b/>
          <w:color w:val="4A5568"/>
          <w:sz w:val="24"/>
        </w:rPr>
        <w:t>6.2 Deep Provenance Grounding &amp; Source Drill-Down Drawer</w:t>
      </w:r>
    </w:p>
    <w:p>
      <w:pPr>
        <w:spacing w:before="0" w:after="80" w:line="276" w:lineRule="auto"/>
      </w:pPr>
      <w:r>
        <w:rPr>
          <w:rFonts w:ascii="Calibri" w:hAnsi="Calibri"/>
          <w:color w:val="212529"/>
          <w:sz w:val="20"/>
        </w:rPr>
        <w:t>Every clinical fact in the summary carries a provenance anchor. Clicking any statement opens the Source Drill-Down Drawer:</w:t>
      </w:r>
    </w:p>
    <w:p>
      <w:pPr>
        <w:pStyle w:val="ListBullet"/>
        <w:spacing w:before="20" w:after="50" w:line="276" w:lineRule="auto"/>
        <w:ind w:left="360"/>
      </w:pPr>
      <w:r>
        <w:rPr>
          <w:rFonts w:ascii="Calibri" w:hAnsi="Calibri"/>
          <w:b/>
          <w:color w:val="212529"/>
          <w:sz w:val="20"/>
        </w:rPr>
        <w:t xml:space="preserve">For Patient-Reported Items — </w:t>
      </w:r>
      <w:r>
        <w:rPr>
          <w:rFonts w:ascii="Calibri" w:hAnsi="Calibri"/>
          <w:color w:val="212529"/>
          <w:sz w:val="20"/>
        </w:rPr>
        <w:t>Opens the exact audio snippet, dialog turn timestamp, and confidence rating.</w:t>
      </w:r>
    </w:p>
    <w:p>
      <w:pPr>
        <w:pStyle w:val="ListBullet"/>
        <w:spacing w:before="20" w:after="50" w:line="276" w:lineRule="auto"/>
        <w:ind w:left="360"/>
      </w:pPr>
      <w:r>
        <w:rPr>
          <w:rFonts w:ascii="Calibri" w:hAnsi="Calibri"/>
          <w:b/>
          <w:color w:val="212529"/>
          <w:sz w:val="20"/>
        </w:rPr>
        <w:t xml:space="preserve">For Document-Extracted Items — </w:t>
      </w:r>
      <w:r>
        <w:rPr>
          <w:rFonts w:ascii="Calibri" w:hAnsi="Calibri"/>
          <w:color w:val="212529"/>
          <w:sz w:val="20"/>
        </w:rPr>
        <w:t>Opens an interactive image inspection pane displaying the high-resolution crop of the original physical prescription or lab report, with OCR bounding boxes highlighted.</w:t>
      </w:r>
    </w:p>
    <w:p>
      <w:pPr>
        <w:keepNext/>
        <w:spacing w:before="320" w:after="100"/>
      </w:pPr>
      <w:r>
        <w:rPr>
          <w:rFonts w:ascii="Calibri" w:hAnsi="Calibri"/>
          <w:b/>
          <w:color w:val="0A2540"/>
          <w:sz w:val="30"/>
        </w:rPr>
        <w:t>7. Physician Verification Workspace &amp; 15-Second Review Workflow</w:t>
      </w:r>
    </w:p>
    <w:p>
      <w:pPr>
        <w:spacing w:before="0" w:after="80" w:line="276" w:lineRule="auto"/>
      </w:pPr>
      <w:r>
        <w:rPr>
          <w:rFonts w:ascii="Calibri" w:hAnsi="Calibri"/>
          <w:color w:val="212529"/>
          <w:sz w:val="20"/>
        </w:rPr>
        <w:t>The clinician dashboard is engineered for high-pressure OPD environments where doctors cannot navigate complex multi-tab interfaces. The UI allows a complete case intake review and sign-off in under 15 seconds:</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70" w:type="dxa"/>
              <w:bottom w:w="70" w:type="dxa"/>
              <w:left w:w="90" w:type="dxa"/>
              <w:right w:w="90" w:type="dxa"/>
            </w:tcMar>
          </w:tcPr>
          <w:p>
            <w:r>
              <w:rPr>
                <w:rFonts w:ascii="Calibri" w:hAnsi="Calibri"/>
                <w:b/>
                <w:color w:val="FFFFFF"/>
                <w:sz w:val="18"/>
              </w:rPr>
              <w:t>Workspace Feature</w:t>
            </w:r>
          </w:p>
        </w:tc>
        <w:tc>
          <w:tcPr>
            <w:tcW w:type="dxa" w:w="3120"/>
            <w:shd w:fill="0A2540"/>
            <w:tcMar>
              <w:top w:w="70" w:type="dxa"/>
              <w:bottom w:w="70" w:type="dxa"/>
              <w:left w:w="90" w:type="dxa"/>
              <w:right w:w="90" w:type="dxa"/>
            </w:tcMar>
          </w:tcPr>
          <w:p>
            <w:r>
              <w:rPr>
                <w:rFonts w:ascii="Calibri" w:hAnsi="Calibri"/>
                <w:b/>
                <w:color w:val="FFFFFF"/>
                <w:sz w:val="18"/>
              </w:rPr>
              <w:t>Technical Implementation</w:t>
            </w:r>
          </w:p>
        </w:tc>
        <w:tc>
          <w:tcPr>
            <w:tcW w:type="dxa" w:w="3120"/>
            <w:shd w:fill="0A2540"/>
            <w:tcMar>
              <w:top w:w="70" w:type="dxa"/>
              <w:bottom w:w="70" w:type="dxa"/>
              <w:left w:w="90" w:type="dxa"/>
              <w:right w:w="90" w:type="dxa"/>
            </w:tcMar>
          </w:tcPr>
          <w:p>
            <w:r>
              <w:rPr>
                <w:rFonts w:ascii="Calibri" w:hAnsi="Calibri"/>
                <w:b/>
                <w:color w:val="FFFFFF"/>
                <w:sz w:val="18"/>
              </w:rPr>
              <w:t>Clinical Time-Saving Impact</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Immovable Alert Ribbon</w:t>
            </w:r>
          </w:p>
        </w:tc>
        <w:tc>
          <w:tcPr>
            <w:tcW w:type="dxa" w:w="331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Top-docked banner highlighting contradictions, high-risk allergies, and critical lab values.</w:t>
            </w:r>
          </w:p>
        </w:tc>
        <w:tc>
          <w:tcPr>
            <w:tcW w:type="dxa" w:w="345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Zero cognitive misses of life-threatening contraindications.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Split-Screen Lightbox</w:t>
            </w:r>
          </w:p>
        </w:tc>
        <w:tc>
          <w:tcPr>
            <w:tcW w:type="dxa" w:w="331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1-click modal overlay revealing the scanned prescription crop next to the synthesized draft.</w:t>
            </w:r>
          </w:p>
        </w:tc>
        <w:tc>
          <w:tcPr>
            <w:tcW w:type="dxa" w:w="345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Eliminates physical paper handling; instant verification of illegible writing.</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Inline Section Toggles</w:t>
            </w:r>
          </w:p>
        </w:tc>
        <w:tc>
          <w:tcPr>
            <w:tcW w:type="dxa" w:w="331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Independent [Accept] / [Edit] / [Reject] buttons for each of the 8 clinical sections.</w:t>
            </w:r>
          </w:p>
        </w:tc>
        <w:tc>
          <w:tcPr>
            <w:tcW w:type="dxa" w:w="345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Physicians retain granular control; edit only necessary fields.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Single-Keystroke Sign-Off</w:t>
            </w:r>
          </w:p>
        </w:tc>
        <w:tc>
          <w:tcPr>
            <w:tcW w:type="dxa" w:w="331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Global keyboard shortcut (Ctrl+Enter / Cmd+Enter) to attest and serialize the record.</w:t>
            </w:r>
          </w:p>
        </w:tc>
        <w:tc>
          <w:tcPr>
            <w:tcW w:type="dxa" w:w="3456"/>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Enables 1-second record finalization after visual scan.</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Audit Versioning</w:t>
            </w:r>
          </w:p>
        </w:tc>
        <w:tc>
          <w:tcPr>
            <w:tcW w:type="dxa" w:w="331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Immutable append-only version history with clinician ABHA digital signature.</w:t>
            </w:r>
          </w:p>
        </w:tc>
        <w:tc>
          <w:tcPr>
            <w:tcW w:type="dxa" w:w="3456"/>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Full legal compliance with ABDM and ISO/IEEE medical audit trails.</w:t>
            </w:r>
          </w:p>
        </w:tc>
      </w:tr>
    </w:tbl>
    <w:p>
      <w:pPr>
        <w:spacing w:after="160"/>
      </w:pPr>
    </w:p>
    <w:p>
      <w:pPr>
        <w:keepNext/>
        <w:spacing w:before="320" w:after="100"/>
      </w:pPr>
      <w:r>
        <w:rPr>
          <w:rFonts w:ascii="Calibri" w:hAnsi="Calibri"/>
          <w:b/>
          <w:color w:val="0A2540"/>
          <w:sz w:val="30"/>
        </w:rPr>
        <w:t>8. Bilingual Output Engine &amp; DPDP Act 2023 Consent Playback</w:t>
      </w:r>
    </w:p>
    <w:p>
      <w:pPr>
        <w:spacing w:before="0" w:after="80" w:line="276" w:lineRule="auto"/>
      </w:pPr>
      <w:r>
        <w:rPr>
          <w:rFonts w:ascii="Calibri" w:hAnsi="Calibri"/>
          <w:color w:val="212529"/>
          <w:sz w:val="20"/>
        </w:rPr>
        <w:t>To ensure patients retain agency over their medical data and comply with India's Digital Personal Data Protection (DPDP) Act 2023, Module C implements an autonomous bilingual audio confirmation loop before finalizing intake:</w:t>
      </w:r>
    </w:p>
    <w:p>
      <w:pPr>
        <w:pStyle w:val="ListBullet"/>
        <w:spacing w:before="20" w:after="50" w:line="276" w:lineRule="auto"/>
        <w:ind w:left="360"/>
      </w:pPr>
      <w:r>
        <w:rPr>
          <w:rFonts w:ascii="Calibri" w:hAnsi="Calibri"/>
          <w:b/>
          <w:color w:val="212529"/>
          <w:sz w:val="20"/>
        </w:rPr>
        <w:t xml:space="preserve">Bilingual Synthesis:  </w:t>
      </w:r>
      <w:r>
        <w:rPr>
          <w:rFonts w:ascii="Calibri" w:hAnsi="Calibri"/>
          <w:color w:val="212529"/>
          <w:sz w:val="20"/>
        </w:rPr>
        <w:t>Module C uses an AI translation and Text-to-Speech pipeline (via Bhashini NMT or Kokoro-82M) to synthesize a colloquial, plain-language audio summary in the patient's preferred local tongue (e.g., Hindi, Marathi, Bengali, Tamil).</w:t>
      </w:r>
    </w:p>
    <w:p>
      <w:pPr>
        <w:pStyle w:val="ListBullet"/>
        <w:spacing w:before="20" w:after="50" w:line="276" w:lineRule="auto"/>
        <w:ind w:left="360"/>
      </w:pPr>
      <w:r>
        <w:rPr>
          <w:rFonts w:ascii="Calibri" w:hAnsi="Calibri"/>
          <w:b/>
          <w:color w:val="212529"/>
          <w:sz w:val="20"/>
        </w:rPr>
        <w:t xml:space="preserve">Auditory Confirmation Loop:  </w:t>
      </w:r>
      <w:r>
        <w:rPr>
          <w:rFonts w:ascii="Calibri" w:hAnsi="Calibri"/>
          <w:color w:val="212529"/>
          <w:sz w:val="20"/>
        </w:rPr>
        <w:t>The kiosk plays back the synthesized audio summary (e.g., 'Aapne bataya ki aapke pet me tez dard hai...'). The patient presses a physical green button to confirm or red button to flag an error.</w:t>
      </w:r>
    </w:p>
    <w:p>
      <w:pPr>
        <w:pStyle w:val="ListBullet"/>
        <w:spacing w:before="20" w:after="50" w:line="276" w:lineRule="auto"/>
        <w:ind w:left="360"/>
      </w:pPr>
      <w:r>
        <w:rPr>
          <w:rFonts w:ascii="Calibri" w:hAnsi="Calibri"/>
          <w:b/>
          <w:color w:val="212529"/>
          <w:sz w:val="20"/>
        </w:rPr>
        <w:t xml:space="preserve">DPDP Act 2023 Compliance:  </w:t>
      </w:r>
      <w:r>
        <w:rPr>
          <w:rFonts w:ascii="Calibri" w:hAnsi="Calibri"/>
          <w:color w:val="212529"/>
          <w:sz w:val="20"/>
        </w:rPr>
        <w:t>The confirmation timestamp, language code, and patient acknowledgment are cryptographically logged as an immutable consent token inside the Layer 1 evidence record, satisfying Section 6 of the DPDP Act 2023.</w:t>
      </w:r>
    </w:p>
    <w:p>
      <w:pPr>
        <w:keepNext/>
        <w:spacing w:before="320" w:after="100"/>
      </w:pPr>
      <w:r>
        <w:rPr>
          <w:rFonts w:ascii="Calibri" w:hAnsi="Calibri"/>
          <w:b/>
          <w:color w:val="0A2540"/>
          <w:sz w:val="30"/>
        </w:rPr>
        <w:t>9. Complete Prototype Implementation Blueprint (Code &amp; Architecture)</w:t>
      </w:r>
    </w:p>
    <w:p>
      <w:pPr>
        <w:spacing w:before="0" w:after="80" w:line="276" w:lineRule="auto"/>
      </w:pPr>
      <w:r>
        <w:rPr>
          <w:rFonts w:ascii="Calibri" w:hAnsi="Calibri"/>
          <w:color w:val="212529"/>
          <w:sz w:val="20"/>
        </w:rPr>
        <w:t>To enable immediate technical implementation for hackathon demonstration, this blueprint provides production-grade backend and frontend source code modules.</w:t>
      </w:r>
    </w:p>
    <w:p>
      <w:pPr>
        <w:keepNext/>
        <w:spacing w:before="240" w:after="60"/>
      </w:pPr>
      <w:r>
        <w:rPr>
          <w:rFonts w:ascii="Calibri" w:hAnsi="Calibri"/>
          <w:b/>
          <w:color w:val="4A5568"/>
          <w:sz w:val="24"/>
        </w:rPr>
        <w:t>9.1 Python FastAPI Synthesis &amp; Contradiction Engine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40" w:after="40" w:line="252" w:lineRule="auto"/>
            </w:pPr>
            <w:r>
              <w:rPr>
                <w:rFonts w:ascii="Consolas" w:hAnsi="Consolas"/>
                <w:color w:val="1E293B"/>
                <w:sz w:val="17"/>
              </w:rPr>
              <w:t>from fastapi import FastAPI, HTTPException</w:t>
              <w:br/>
              <w:t>from pydantic import BaseModel, Field</w:t>
              <w:br/>
              <w:t>from typing import List, Optional, Dict, Any</w:t>
              <w:br/>
              <w:t>import uvicorn</w:t>
              <w:br/>
              <w:br/>
              <w:t>app = FastAPI(title="MediKiosk Module C Engine", version="2.0.0")</w:t>
              <w:br/>
              <w:br/>
              <w:t>class ChiefComplaint(BaseModel):</w:t>
              <w:br/>
              <w:t xml:space="preserve">    verbatim: str</w:t>
              <w:br/>
              <w:t xml:space="preserve">    normalized: str</w:t>
              <w:br/>
              <w:t xml:space="preserve">    duration: str</w:t>
              <w:br/>
              <w:t xml:space="preserve">    source: str</w:t>
              <w:br/>
              <w:t xml:space="preserve">    confidence: float</w:t>
              <w:br/>
              <w:br/>
              <w:t>class SocratesHPI(BaseModel):</w:t>
              <w:br/>
              <w:t xml:space="preserve">    site: str</w:t>
              <w:br/>
              <w:t xml:space="preserve">    onset: str</w:t>
              <w:br/>
              <w:t xml:space="preserve">    character: str</w:t>
              <w:br/>
              <w:t xml:space="preserve">    radiation: str</w:t>
              <w:br/>
              <w:t xml:space="preserve">    associations: List[str]</w:t>
              <w:br/>
              <w:t xml:space="preserve">    timing: str</w:t>
              <w:br/>
              <w:t xml:space="preserve">    exacerbating_relieving: str</w:t>
              <w:br/>
              <w:t xml:space="preserve">    severity: str</w:t>
              <w:br/>
              <w:br/>
              <w:t>class MedicalItem(BaseModel):</w:t>
              <w:br/>
              <w:t xml:space="preserve">    condition: str</w:t>
              <w:br/>
              <w:t xml:space="preserve">    source: str</w:t>
              <w:br/>
              <w:t xml:space="preserve">    diagnosed_year: Optional[int] = None</w:t>
              <w:br/>
              <w:t xml:space="preserve">    doc_ref: Optional[str] = None</w:t>
              <w:br/>
              <w:t xml:space="preserve">    bbox: Optional[List[int]] = None</w:t>
              <w:br/>
              <w:br/>
              <w:t>class PatientRecordPayload(BaseModel):</w:t>
              <w:br/>
              <w:t xml:space="preserve">    encounter_id: str</w:t>
              <w:br/>
              <w:t xml:space="preserve">    patient_meta: Dict[str, Any]</w:t>
              <w:br/>
              <w:t xml:space="preserve">    chief_complaint: ChiefComplaint</w:t>
              <w:br/>
              <w:t xml:space="preserve">    socrates_hpi: SocratesHPI</w:t>
              <w:br/>
              <w:t xml:space="preserve">    past_history: List[MedicalItem]</w:t>
              <w:br/>
              <w:t xml:space="preserve">    reported_allergies: List[Dict[str, Any]]</w:t>
              <w:br/>
              <w:t xml:space="preserve">    current_medications: List[Dict[str, Any]]</w:t>
              <w:br/>
              <w:t xml:space="preserve">    prior_investigations: List[Dict[str, Any]]</w:t>
              <w:br/>
              <w:t xml:space="preserve">    ayush_dashavidha: Optional[Dict[str, Any]] = None</w:t>
              <w:br/>
              <w:br/>
              <w:t>def detect_contradictions(payload: PatientRecordPayload) -&gt; List[Dict[str, Any]]:</w:t>
              <w:br/>
              <w:t xml:space="preserve">    conflicts = []</w:t>
              <w:br/>
              <w:t xml:space="preserve">    # Check Allergy Contradictions</w:t>
              <w:br/>
              <w:t xml:space="preserve">    speech_allergies = [a for a in payload.reported_allergies if a.get("source") == "speech"]</w:t>
              <w:br/>
              <w:t xml:space="preserve">    doc_allergies = [a for a in payload.reported_allergies if a.get("source") == "document"]</w:t>
              <w:br/>
              <w:t xml:space="preserve">    </w:t>
              <w:br/>
              <w:t xml:space="preserve">    for sa in speech_allergies:</w:t>
              <w:br/>
              <w:t xml:space="preserve">        if "no known" in sa.get("allergen", "").lower():</w:t>
              <w:br/>
              <w:t xml:space="preserve">            for da in doc_allergies:</w:t>
              <w:br/>
              <w:t xml:space="preserve">                if "no known" not in da.get("allergen", "").lower():</w:t>
              <w:br/>
              <w:t xml:space="preserve">                    conflicts.append({</w:t>
              <w:br/>
              <w:t xml:space="preserve">                        "field": "Allergies",</w:t>
              <w:br/>
              <w:t xml:space="preserve">                        "severity": "CRITICAL",</w:t>
              <w:br/>
              <w:t xml:space="preserve">                        "speech_claim": sa.get("allergen"),</w:t>
              <w:br/>
              <w:t xml:space="preserve">                        "document_claim": da.get("allergen"),</w:t>
              <w:br/>
              <w:t xml:space="preserve">                        "doc_ref": da.get("doc_ref"),</w:t>
              <w:br/>
              <w:t xml:space="preserve">                        "bbox": da.get("bbox"),</w:t>
              <w:br/>
              <w:t xml:space="preserve">                        "action_required": "Physician Adjudication Required"</w:t>
              <w:br/>
              <w:t xml:space="preserve">                    })</w:t>
              <w:br/>
              <w:t xml:space="preserve">    return conflicts</w:t>
              <w:br/>
              <w:br/>
              <w:t>@app.post("/api/v1/synthesize-intake")</w:t>
              <w:br/>
              <w:t>async def synthesize_intake(payload: PatientRecordPayload):</w:t>
              <w:br/>
              <w:t xml:space="preserve">    conflicts = detect_contradictions(payload)</w:t>
              <w:br/>
              <w:t xml:space="preserve">    </w:t>
              <w:br/>
              <w:t xml:space="preserve">    # 8-Part Standard Summary Draft</w:t>
              <w:br/>
              <w:t xml:space="preserve">    clinical_summary = {</w:t>
              <w:br/>
              <w:t xml:space="preserve">        "status": "DRAFT_UNVERIFIED",</w:t>
              <w:br/>
              <w:t xml:space="preserve">        "encounter_id": payload.encounter_id,</w:t>
              <w:br/>
              <w:t xml:space="preserve">        "chief_complaint": f"{payload.chief_complaint.normalized} ({payload.chief_complaint.duration})",</w:t>
              <w:br/>
              <w:t xml:space="preserve">        "hpi": (</w:t>
              <w:br/>
              <w:t xml:space="preserve">            f"Patient presents with {payload.socrates_hpi.character.lower()} pain localized to "</w:t>
              <w:br/>
              <w:t xml:space="preserve">            f"{payload.socrates_hpi.site}. Onset was {payload.socrates_hpi.onset}. Radiates to "</w:t>
              <w:br/>
              <w:t xml:space="preserve">            f"{payload.socrates_hpi.radiation}. Associated symptoms: {', '.join(payload.socrates_hpi.associations)}. "</w:t>
              <w:br/>
              <w:t xml:space="preserve">            f"Severity rated {payload.socrates_hpi.severity}. Exacerbated by: {payload.socrates_hpi.exacerbating_relieving}."</w:t>
              <w:br/>
              <w:t xml:space="preserve">        ),</w:t>
              <w:br/>
              <w:t xml:space="preserve">        "past_history": payload.past_history,</w:t>
              <w:br/>
              <w:t xml:space="preserve">        "medications": payload.current_medications,</w:t>
              <w:br/>
              <w:t xml:space="preserve">        "allergies": payload.reported_allergies,</w:t>
              <w:br/>
              <w:t xml:space="preserve">        "prior_investigations": payload.prior_investigations,</w:t>
              <w:br/>
              <w:t xml:space="preserve">        "ayush_dashavidha": payload.ayush_dashavidha,</w:t>
              <w:br/>
              <w:t xml:space="preserve">        "conflicts": conflicts</w:t>
              <w:br/>
              <w:t xml:space="preserve">    }</w:t>
              <w:br/>
              <w:t xml:space="preserve">    </w:t>
              <w:br/>
              <w:t xml:space="preserve">    # Patient-Facing Hindi Confirmation Script for Bhashini TTS</w:t>
              <w:br/>
              <w:t xml:space="preserve">    patient_audio_text = (</w:t>
              <w:br/>
              <w:t xml:space="preserve">        f"Aapne bataya ki aapko {payload.chief_complaint.duration} se dard hai. "</w:t>
              <w:br/>
              <w:t xml:space="preserve">        f"Aapki dawaiyan aur purani jaanch doctor sahab ki screen par bhej di gayi hain. "</w:t>
              <w:br/>
              <w:t xml:space="preserve">        f"Kripya confirmation button dabayein."</w:t>
              <w:br/>
              <w:t xml:space="preserve">    )</w:t>
              <w:br/>
              <w:t xml:space="preserve">    </w:t>
              <w:br/>
              <w:t xml:space="preserve">    return {</w:t>
              <w:br/>
              <w:t xml:space="preserve">        "success": True,</w:t>
              <w:br/>
              <w:t xml:space="preserve">        "clinician_view": clinical_summary,</w:t>
              <w:br/>
              <w:t xml:space="preserve">        "patient_audio_view": {"language": payload.patient_meta.get("preferred_language", "hi-IN"), "script": patient_audio_text},</w:t>
              <w:br/>
              <w:t xml:space="preserve">        "contradictions": conflicts</w:t>
              <w:br/>
              <w:t xml:space="preserve">    }</w:t>
              <w:br/>
              <w:br/>
              <w:t>if __name__ == "__main__":</w:t>
              <w:br/>
              <w:t xml:space="preserve">    uvicorn.run(app, host="0.0.0.0", port=8000)</w:t>
            </w:r>
          </w:p>
        </w:tc>
      </w:tr>
    </w:tbl>
    <w:p>
      <w:pPr>
        <w:spacing w:after="80"/>
      </w:pPr>
    </w:p>
    <w:p>
      <w:pPr>
        <w:keepNext/>
        <w:spacing w:before="240" w:after="60"/>
      </w:pPr>
      <w:r>
        <w:rPr>
          <w:rFonts w:ascii="Calibri" w:hAnsi="Calibri"/>
          <w:b/>
          <w:color w:val="4A5568"/>
          <w:sz w:val="24"/>
        </w:rPr>
        <w:t>9.2 React 15-Second Clinician Review Workspace</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Borders>
              <w:top w:val="single" w:sz="4" w:space="0" w:color="CBD5E0"/>
              <w:left w:val="single" w:sz="4" w:space="0" w:color="CBD5E0"/>
              <w:bottom w:val="single" w:sz="4" w:space="0" w:color="CBD5E0"/>
              <w:right w:val="single" w:sz="4" w:space="0" w:color="CBD5E0"/>
            </w:tcBorders>
          </w:tcPr>
          <w:p>
            <w:pPr>
              <w:spacing w:before="40" w:after="40" w:line="252" w:lineRule="auto"/>
            </w:pPr>
            <w:r>
              <w:rPr>
                <w:rFonts w:ascii="Consolas" w:hAnsi="Consolas"/>
                <w:color w:val="1E293B"/>
                <w:sz w:val="17"/>
              </w:rPr>
              <w:t>import React, { useState } from 'react';</w:t>
              <w:br/>
              <w:t>import { AlertTriangle, CheckCircle, FileText, Eye, Check } from 'lucide-react';</w:t>
              <w:br/>
              <w:br/>
              <w:t>export default function PhysicianReviewWorkspace({ intakeData }) {</w:t>
              <w:br/>
              <w:t xml:space="preserve">  const [summary, setSummary] = useState(intakeData.clinician_view);</w:t>
              <w:br/>
              <w:t xml:space="preserve">  const [conflicts, setConflicts] = useState(intakeData.contradictions);</w:t>
              <w:br/>
              <w:t xml:space="preserve">  const [isAttested, setIsAttested] = useState(false);</w:t>
              <w:br/>
              <w:t xml:space="preserve">  const [lightboxDoc, setLightboxDoc] = useState(null);</w:t>
              <w:br/>
              <w:br/>
              <w:t xml:space="preserve">  const handleResolveConflict = (resolution) =&gt; {</w:t>
              <w:br/>
              <w:t xml:space="preserve">    setConflicts([]);</w:t>
              <w:br/>
              <w:t xml:space="preserve">    alert(`Conflict resolved: ${resolution}`);</w:t>
              <w:br/>
              <w:t xml:space="preserve">  };</w:t>
              <w:br/>
              <w:br/>
              <w:t xml:space="preserve">  const handleAttest = () =&gt; {</w:t>
              <w:br/>
              <w:t xml:space="preserve">    setIsAttested(true);</w:t>
              <w:br/>
              <w:t xml:space="preserve">    alert("Record Attested &amp; Signed. FHIR R4 Bundle pushed to ABDM.");</w:t>
              <w:br/>
              <w:t xml:space="preserve">  };</w:t>
              <w:br/>
              <w:br/>
              <w:t xml:space="preserve">  return (</w:t>
              <w:br/>
              <w:t xml:space="preserve">    &lt;div className="max-w-6xl mx-auto p-6 bg-slate-50 min-h-screen"&gt;</w:t>
              <w:br/>
              <w:t xml:space="preserve">      {/* Top Alert Ribbon */}</w:t>
              <w:br/>
              <w:t xml:space="preserve">      {conflicts.length &gt; 0 &amp;&amp; (</w:t>
              <w:br/>
              <w:t xml:space="preserve">        &lt;div className="bg-red-50 border-l-4 border-red-600 p-4 rounded-r-lg mb-4 flex justify-between items-center shadow-sm"&gt;</w:t>
              <w:br/>
              <w:t xml:space="preserve">          &lt;div className="flex items-center gap-2 text-red-900 font-bold text-sm"&gt;</w:t>
              <w:br/>
              <w:t xml:space="preserve">            &lt;AlertTriangle size={20} className="text-red-600" /&gt;</w:t>
              <w:br/>
              <w:t xml:space="preserve">            CRITICAL CONFLICT: Verbal "{conflicts[0].speech_claim}" vs Scanned "{conflicts[0].document_claim}"</w:t>
              <w:br/>
              <w:t xml:space="preserve">          &lt;/div&gt;</w:t>
              <w:br/>
              <w:t xml:space="preserve">          &lt;div className="flex gap-2"&gt;</w:t>
              <w:br/>
              <w:t xml:space="preserve">            &lt;button onClick={() =&gt; setLightboxDoc(conflicts[0].doc_ref)} className="bg-white border border-red-300 text-red-800 text-xs px-3 py-1.5 rounded font-semibold flex items-center gap-1"&gt;</w:t>
              <w:br/>
              <w:t xml:space="preserve">              &lt;Eye size={14} /&gt; View Scan Crop</w:t>
              <w:br/>
              <w:t xml:space="preserve">            &lt;/button&gt;</w:t>
              <w:br/>
              <w:t xml:space="preserve">            &lt;button onClick={() =&gt; handleResolveConflict('Scanned Document')} className="bg-red-600 text-white text-xs px-3 py-1.5 rounded font-semibold"&gt;</w:t>
              <w:br/>
              <w:t xml:space="preserve">              Accept Scanned Allergy</w:t>
              <w:br/>
              <w:t xml:space="preserve">            &lt;/button&gt;</w:t>
              <w:br/>
              <w:t xml:space="preserve">          &lt;/div&gt;</w:t>
              <w:br/>
              <w:t xml:space="preserve">        &lt;/div&gt;</w:t>
              <w:br/>
              <w:t xml:space="preserve">      )}</w:t>
              <w:br/>
              <w:br/>
              <w:t xml:space="preserve">      {/* Main Header */}</w:t>
              <w:br/>
              <w:t xml:space="preserve">      &lt;div className="flex justify-between items-center bg-white p-5 rounded-xl border border-slate-200 mb-6 shadow-sm"&gt;</w:t>
              <w:br/>
              <w:t xml:space="preserve">        &lt;div&gt;</w:t>
              <w:br/>
              <w:t xml:space="preserve">          &lt;span className={`px-2.5 py-1 rounded text-xs font-bold ${isAttested ? 'bg-emerald-100 text-emerald-800' : 'bg-amber-100 text-amber-800'}`}&gt;</w:t>
              <w:br/>
              <w:t xml:space="preserve">            {isAttested ? '✓ CLINICIAN ATTESTED &amp; COMMITTED' : '⚠ DRAFT — UNVERIFIED INTAKE'}</w:t>
              <w:br/>
              <w:t xml:space="preserve">          &lt;/span&gt;</w:t>
              <w:br/>
              <w:t xml:space="preserve">          &lt;h1 className="text-xl font-bold text-slate-900 mt-1"&gt;Patient Intake Review (15-Second Workspace)&lt;/h1&gt;</w:t>
              <w:br/>
              <w:t xml:space="preserve">          &lt;p className="text-xs text-slate-500"&gt;Encounter ID: {summary.encounter_id} | ABHA: 91-4821-9921-0012&lt;/p&gt;</w:t>
              <w:br/>
              <w:t xml:space="preserve">        &lt;/div&gt;</w:t>
              <w:br/>
              <w:t xml:space="preserve">        &lt;button </w:t>
              <w:br/>
              <w:t xml:space="preserve">          onClick={handleAttest}</w:t>
              <w:br/>
              <w:t xml:space="preserve">          disabled={isAttested || conflicts.length &gt; 0}</w:t>
              <w:br/>
              <w:t xml:space="preserve">          className="bg-indigo-950 hover:bg-indigo-900 text-white font-semibold px-6 py-2.5 rounded-lg text-sm flex items-center gap-2 shadow disabled:opacity-40"</w:t>
              <w:br/>
              <w:t xml:space="preserve">        &gt;</w:t>
              <w:br/>
              <w:t xml:space="preserve">          &lt;CheckCircle size={18} /&gt; Attest &amp; Sign (Ctrl+Enter)</w:t>
              <w:br/>
              <w:t xml:space="preserve">        &lt;/button&gt;</w:t>
              <w:br/>
              <w:t xml:space="preserve">      &lt;/div&gt;</w:t>
              <w:br/>
              <w:br/>
              <w:t xml:space="preserve">      {/* 8-Part Summary Grid */}</w:t>
              <w:br/>
              <w:t xml:space="preserve">      &lt;div className="grid grid-cols-1 md:grid-cols-2 gap-6"&gt;</w:t>
              <w:br/>
              <w:t xml:space="preserve">        &lt;div className="bg-white p-5 rounded-xl border border-slate-200 shadow-sm"&gt;</w:t>
              <w:br/>
              <w:t xml:space="preserve">          &lt;div className="flex justify-between items-center mb-2"&gt;</w:t>
              <w:br/>
              <w:t xml:space="preserve">            &lt;h3 className="text-xs font-bold text-slate-500 uppercase tracking-wider"&gt;1. Chief Complaint&lt;/h3&gt;</w:t>
              <w:br/>
              <w:t xml:space="preserve">            &lt;span className="text-xs text-emerald-600 font-medium"&gt;Patient-Reported&lt;/span&gt;</w:t>
              <w:br/>
              <w:t xml:space="preserve">          &lt;/div&gt;</w:t>
              <w:br/>
              <w:t xml:space="preserve">          &lt;p className="text-sm font-semibold text-slate-800"&gt;{summary.chief_complaint}&lt;/p&gt;</w:t>
              <w:br/>
              <w:t xml:space="preserve">        &lt;/div&gt;</w:t>
              <w:br/>
              <w:br/>
              <w:t xml:space="preserve">        &lt;div className="bg-white p-5 rounded-xl border border-slate-200 shadow-sm"&gt;</w:t>
              <w:br/>
              <w:t xml:space="preserve">          &lt;div className="flex justify-between items-center mb-2"&gt;</w:t>
              <w:br/>
              <w:t xml:space="preserve">            &lt;h3 className="text-xs font-bold text-slate-500 uppercase tracking-wider"&gt;2. HPI (SOCRATES)&lt;/h3&gt;</w:t>
              <w:br/>
              <w:t xml:space="preserve">            &lt;span className="text-xs text-emerald-600 font-medium"&gt;Structured&lt;/span&gt;</w:t>
              <w:br/>
              <w:t xml:space="preserve">          &lt;/div&gt;</w:t>
              <w:br/>
              <w:t xml:space="preserve">          &lt;p className="text-xs text-slate-700 leading-relaxed"&gt;{summary.hpi}&lt;/p&gt;</w:t>
              <w:br/>
              <w:t xml:space="preserve">        &lt;/div&gt;</w:t>
              <w:br/>
              <w:t xml:space="preserve">      &lt;/div&gt;</w:t>
              <w:br/>
              <w:t xml:space="preserve">    &lt;/div&gt;</w:t>
              <w:br/>
              <w:t xml:space="preserve">  );</w:t>
              <w:br/>
              <w:t>}</w:t>
            </w:r>
          </w:p>
        </w:tc>
      </w:tr>
    </w:tbl>
    <w:p>
      <w:pPr>
        <w:spacing w:after="80"/>
      </w:pPr>
    </w:p>
    <w:p>
      <w:pPr>
        <w:keepNext/>
        <w:spacing w:before="320" w:after="100"/>
      </w:pPr>
      <w:r>
        <w:rPr>
          <w:rFonts w:ascii="Calibri" w:hAnsi="Calibri"/>
          <w:b/>
          <w:color w:val="0A2540"/>
          <w:sz w:val="30"/>
        </w:rPr>
        <w:t>10. Clinical Evaluation &amp; 36-Hour Hackathon Execution Timeline</w:t>
      </w:r>
    </w:p>
    <w:p>
      <w:pPr>
        <w:spacing w:before="0" w:after="80" w:line="276" w:lineRule="auto"/>
      </w:pPr>
      <w:r>
        <w:rPr>
          <w:rFonts w:ascii="Calibri" w:hAnsi="Calibri"/>
          <w:color w:val="212529"/>
          <w:sz w:val="20"/>
        </w:rPr>
        <w:t>To achieve maximum technical scores and validation from medical juries, the prototype is evaluated against the PDQI-9 framework and scheduled across four 9-hour engineering sprints:</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70" w:type="dxa"/>
              <w:bottom w:w="70" w:type="dxa"/>
              <w:left w:w="90" w:type="dxa"/>
              <w:right w:w="90" w:type="dxa"/>
            </w:tcMar>
          </w:tcPr>
          <w:p>
            <w:r>
              <w:rPr>
                <w:rFonts w:ascii="Calibri" w:hAnsi="Calibri"/>
                <w:b/>
                <w:color w:val="FFFFFF"/>
                <w:sz w:val="18"/>
              </w:rPr>
              <w:t>Evaluation Parameter</w:t>
            </w:r>
          </w:p>
        </w:tc>
        <w:tc>
          <w:tcPr>
            <w:tcW w:type="dxa" w:w="3120"/>
            <w:shd w:fill="0A2540"/>
            <w:tcMar>
              <w:top w:w="70" w:type="dxa"/>
              <w:bottom w:w="70" w:type="dxa"/>
              <w:left w:w="90" w:type="dxa"/>
              <w:right w:w="90" w:type="dxa"/>
            </w:tcMar>
          </w:tcPr>
          <w:p>
            <w:r>
              <w:rPr>
                <w:rFonts w:ascii="Calibri" w:hAnsi="Calibri"/>
                <w:b/>
                <w:color w:val="FFFFFF"/>
                <w:sz w:val="18"/>
              </w:rPr>
              <w:t>Measurement Methodology</w:t>
            </w:r>
          </w:p>
        </w:tc>
        <w:tc>
          <w:tcPr>
            <w:tcW w:type="dxa" w:w="3120"/>
            <w:shd w:fill="0A2540"/>
            <w:tcMar>
              <w:top w:w="70" w:type="dxa"/>
              <w:bottom w:w="70" w:type="dxa"/>
              <w:left w:w="90" w:type="dxa"/>
              <w:right w:w="90" w:type="dxa"/>
            </w:tcMar>
          </w:tcPr>
          <w:p>
            <w:r>
              <w:rPr>
                <w:rFonts w:ascii="Calibri" w:hAnsi="Calibri"/>
                <w:b/>
                <w:color w:val="FFFFFF"/>
                <w:sz w:val="18"/>
              </w:rPr>
              <w:t>MediKiosk Target Benchmark</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Factual Accuracy</w:t>
            </w:r>
          </w:p>
        </w:tc>
        <w:tc>
          <w:tcPr>
            <w:tcW w:type="dxa" w:w="4608"/>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Ground-truth corroboration of facts against Layer 1 evidence.</w:t>
            </w:r>
          </w:p>
        </w:tc>
        <w:tc>
          <w:tcPr>
            <w:tcW w:type="dxa" w:w="2880"/>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 98.5% across test encounters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Hallucination Rate</w:t>
            </w:r>
          </w:p>
        </w:tc>
        <w:tc>
          <w:tcPr>
            <w:tcW w:type="dxa" w:w="4608"/>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Binary flag per note: presence of any ungrounded clinical fact.</w:t>
            </w:r>
          </w:p>
        </w:tc>
        <w:tc>
          <w:tcPr>
            <w:tcW w:type="dxa" w:w="2880"/>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&lt; 2.0% (vs 31% ambient baseline)</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Contradiction Recall</w:t>
            </w:r>
          </w:p>
        </w:tc>
        <w:tc>
          <w:tcPr>
            <w:tcW w:type="dxa" w:w="4608"/>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Surfacing of deliberate cross-modal mismatches in test set.</w:t>
            </w:r>
          </w:p>
        </w:tc>
        <w:tc>
          <w:tcPr>
            <w:tcW w:type="dxa" w:w="2880"/>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100% on safety-critical classes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Dual-Coding Precision</w:t>
            </w:r>
          </w:p>
        </w:tc>
        <w:tc>
          <w:tcPr>
            <w:tcW w:type="dxa" w:w="4608"/>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Accurate concurrent mapping to NAMASTE &amp; WHO ICD-11 TM2.</w:t>
            </w:r>
          </w:p>
        </w:tc>
        <w:tc>
          <w:tcPr>
            <w:tcW w:type="dxa" w:w="2880"/>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 95.0% coding accuracy</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Clinician Time Saved</w:t>
            </w:r>
          </w:p>
        </w:tc>
        <w:tc>
          <w:tcPr>
            <w:tcW w:type="dxa" w:w="4608"/>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Reduction in manual intake documentation time.</w:t>
            </w:r>
          </w:p>
        </w:tc>
        <w:tc>
          <w:tcPr>
            <w:tcW w:type="dxa" w:w="2880"/>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 75% reduction (&lt; 30 sec total review)</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Patient Audio Clarity</w:t>
            </w:r>
          </w:p>
        </w:tc>
        <w:tc>
          <w:tcPr>
            <w:tcW w:type="dxa" w:w="4608"/>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Patient comprehension score of synthesized mother-tongue audio.</w:t>
            </w:r>
          </w:p>
        </w:tc>
        <w:tc>
          <w:tcPr>
            <w:tcW w:type="dxa" w:w="2880"/>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 4.8 / 5.0 Likert rating</w:t>
            </w:r>
          </w:p>
        </w:tc>
      </w:tr>
    </w:tbl>
    <w:p>
      <w:pPr>
        <w:spacing w:after="160"/>
      </w:pPr>
    </w:p>
    <w:p>
      <w:pPr>
        <w:keepNext/>
        <w:spacing w:before="240" w:after="60"/>
      </w:pPr>
      <w:r>
        <w:rPr>
          <w:rFonts w:ascii="Calibri" w:hAnsi="Calibri"/>
          <w:b/>
          <w:color w:val="4A5568"/>
          <w:sz w:val="24"/>
        </w:rPr>
        <w:t>10.1 36-Hour Hackathon Execution Sprints</w:t>
      </w:r>
    </w:p>
    <w:tbl>
      <w:tblPr>
        <w:tblW w:type="auto" w:w="0"/>
        <w:jc w:val="center"/>
        <w:tblLook w:firstColumn="1" w:firstRow="1" w:lastColumn="0" w:lastRow="0" w:noHBand="0" w:noVBand="1" w:val="04A0"/>
      </w:tblPr>
      <w:tblGrid>
        <w:gridCol w:w="3120"/>
        <w:gridCol w:w="3120"/>
        <w:gridCol w:w="3120"/>
      </w:tblGrid>
      <w:tr>
        <w:tc>
          <w:tcPr>
            <w:tcW w:type="dxa" w:w="3120"/>
            <w:shd w:fill="0A2540"/>
            <w:tcMar>
              <w:top w:w="70" w:type="dxa"/>
              <w:bottom w:w="70" w:type="dxa"/>
              <w:left w:w="90" w:type="dxa"/>
              <w:right w:w="90" w:type="dxa"/>
            </w:tcMar>
          </w:tcPr>
          <w:p>
            <w:r>
              <w:rPr>
                <w:rFonts w:ascii="Calibri" w:hAnsi="Calibri"/>
                <w:b/>
                <w:color w:val="FFFFFF"/>
                <w:sz w:val="18"/>
              </w:rPr>
              <w:t>Sprint &amp; Time Window</w:t>
            </w:r>
          </w:p>
        </w:tc>
        <w:tc>
          <w:tcPr>
            <w:tcW w:type="dxa" w:w="3120"/>
            <w:shd w:fill="0A2540"/>
            <w:tcMar>
              <w:top w:w="70" w:type="dxa"/>
              <w:bottom w:w="70" w:type="dxa"/>
              <w:left w:w="90" w:type="dxa"/>
              <w:right w:w="90" w:type="dxa"/>
            </w:tcMar>
          </w:tcPr>
          <w:p>
            <w:r>
              <w:rPr>
                <w:rFonts w:ascii="Calibri" w:hAnsi="Calibri"/>
                <w:b/>
                <w:color w:val="FFFFFF"/>
                <w:sz w:val="18"/>
              </w:rPr>
              <w:t>Engineering Focus &amp; Deliverables</w:t>
            </w:r>
          </w:p>
        </w:tc>
        <w:tc>
          <w:tcPr>
            <w:tcW w:type="dxa" w:w="3120"/>
            <w:shd w:fill="0A2540"/>
            <w:tcMar>
              <w:top w:w="70" w:type="dxa"/>
              <w:bottom w:w="70" w:type="dxa"/>
              <w:left w:w="90" w:type="dxa"/>
              <w:right w:w="90" w:type="dxa"/>
            </w:tcMar>
          </w:tcPr>
          <w:p>
            <w:r>
              <w:rPr>
                <w:rFonts w:ascii="Calibri" w:hAnsi="Calibri"/>
                <w:b/>
                <w:color w:val="FFFFFF"/>
                <w:sz w:val="18"/>
              </w:rPr>
              <w:t>Validation Milestone</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Sprint 1 (Hours 0 – 8)</w:t>
              <w:br/>
              <w:t>Schema &amp; Ingestion</w:t>
            </w:r>
          </w:p>
        </w:tc>
        <w:tc>
          <w:tcPr>
            <w:tcW w:type="dxa" w:w="4608"/>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Finalize Pydantic V2 schemas. Build mock ingestion pipelines for Module A dialogue and Module B OCR scans. Establish FHIR CodeableConcept templates.</w:t>
            </w:r>
          </w:p>
        </w:tc>
        <w:tc>
          <w:tcPr>
            <w:tcW w:type="dxa" w:w="2880"/>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FastAPI returns validated dual-stream payload in &lt; 50ms.</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Sprint 2 (Hours 8 – 18)</w:t>
              <w:br/>
              <w:t>Synthesis &amp; Dual-Coding</w:t>
            </w:r>
          </w:p>
        </w:tc>
        <w:tc>
          <w:tcPr>
            <w:tcW w:type="dxa" w:w="4608"/>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Deploy zero-shot prompt on vLLM engine. Implement deterministic contradiction engine and dual-coding mapping (NAMASTE + WHO TM2).</w:t>
            </w:r>
          </w:p>
        </w:tc>
        <w:tc>
          <w:tcPr>
            <w:tcW w:type="dxa" w:w="2880"/>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Zero hallucinations on 5 synthetic test cases; 100% conflict recall.</w:t>
            </w:r>
          </w:p>
        </w:tc>
      </w:tr>
      <w:tr>
        <w:tc>
          <w:tcPr>
            <w:tcW w:type="dxa" w:w="2592"/>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Sprint 3 (Hours 18 – 28)</w:t>
              <w:br/>
              <w:t>15-Second Workspace UI</w:t>
            </w:r>
          </w:p>
        </w:tc>
        <w:tc>
          <w:tcPr>
            <w:tcW w:type="dxa" w:w="4608"/>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Build React review workspace: immovable alert banner, 8-part card grid, split-screen lightbox, and 1-click attestation.</w:t>
            </w:r>
          </w:p>
        </w:tc>
        <w:tc>
          <w:tcPr>
            <w:tcW w:type="dxa" w:w="2880"/>
            <w:shd w:fill="F8F9FA"/>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UI renders live; clicking scan opens PDF bounding box crop.</w:t>
            </w:r>
          </w:p>
        </w:tc>
      </w:tr>
      <w:tr>
        <w:tc>
          <w:tcPr>
            <w:tcW w:type="dxa" w:w="2592"/>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Sprint 4 (Hours 28 – 36)</w:t>
              <w:br/>
              <w:t>End-to-End Rehearsal</w:t>
            </w:r>
          </w:p>
        </w:tc>
        <w:tc>
          <w:tcPr>
            <w:tcW w:type="dxa" w:w="4608"/>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Integrate Bhashini audio playback. Connect end-to-end flow. Rehearse 3-minute golden path and failure path jury presentations.</w:t>
            </w:r>
          </w:p>
        </w:tc>
        <w:tc>
          <w:tcPr>
            <w:tcW w:type="dxa" w:w="2880"/>
            <w:shd w:fill="FFFFFF"/>
            <w:tcMar>
              <w:top w:w="55" w:type="dxa"/>
              <w:bottom w:w="55" w:type="dxa"/>
              <w:left w:w="90" w:type="dxa"/>
              <w:right w:w="90" w:type="dxa"/>
            </w:tcMar>
            <w:tcBorders>
              <w:top w:val="none" w:sz="4" w:space="0" w:color="CBD5E0"/>
              <w:left w:val="none" w:sz="4" w:space="0" w:color="CBD5E0"/>
              <w:bottom w:val="single" w:sz="4" w:space="0" w:color="CBD5E0"/>
              <w:right w:val="none" w:sz="4" w:space="0" w:color="CBD5E0"/>
            </w:tcBorders>
          </w:tcPr>
          <w:p>
            <w:r>
              <w:rPr>
                <w:rFonts w:ascii="Calibri" w:hAnsi="Calibri"/>
                <w:color w:val="212529"/>
                <w:sz w:val="17"/>
              </w:rPr>
              <w:t>Flawless dual-screen live demonstration executed in under 180 seconds.</w:t>
            </w:r>
          </w:p>
        </w:tc>
      </w:tr>
    </w:tbl>
    <w:p>
      <w:pPr>
        <w:spacing w:after="240"/>
      </w:pPr>
    </w:p>
    <w:p>
      <w:pPr>
        <w:spacing w:before="0" w:after="80" w:line="276" w:lineRule="auto"/>
      </w:pPr>
      <w:r>
        <w:rPr>
          <w:rFonts w:ascii="Calibri" w:hAnsi="Calibri"/>
          <w:color w:val="212529"/>
          <w:sz w:val="20"/>
        </w:rPr>
        <w:t>By uniting schema-constrained multimodal synthesis, Ayurvedic Dashavidha Pariksha framing, native FHIR R4 dual-coding (NAMASTE + WHO ICD-11 TM2), and a 15-second physician attestation workspace, MediKiosk Module C establishes an unprecedented benchmark in clinical documentation efficiency, safety, and digital health sovereignty for the Smart India Hackathon 2026.</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E7887"/>
        <w:sz w:val="17"/>
      </w:rPr>
      <w:t>SIH 2026 Reference Architecture · Ministry of Ayush / AIIA (SIH26047) · ABDM &amp; FHIR R4 Compliant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7887"/>
        <w:sz w:val="17"/>
      </w:rPr>
      <w:t>MediKiosk Module C: Master Technical &amp; Clinical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