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3949"/>
        <w:gridCol w:w="3949"/>
        <w:gridCol w:w="3949"/>
      </w:tblGrid>
      <w:tr>
        <w:trPr>
          <w:trHeight w:hRule="exact" w:val="1078"/>
        </w:trPr>
        <w:tc>
          <w:tcPr>
            <w:tcW w:type="dxa" w:w="35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87120" cy="899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766" w:right="0" w:firstLine="51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32"/>
              </w:rPr>
              <w:t xml:space="preserve">GUNJAN KATRE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hyperlink r:id="rId10" w:history="1">
                <w:r>
                  <w:rPr>
                    <w:rStyle w:val="Hyperlink"/>
                  </w:rPr>
                  <w:t>B.Tech. - Computer Engineering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Email: 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0" w:history="1">
                <w:r>
                  <w:rPr>
                    <w:rStyle w:val="Hyperlink"/>
                  </w:rPr>
                  <w:t>co.2021.grkatre@bitwardha.ac.in</w:t>
                </w:r>
              </w:hyperlink>
            </w:r>
          </w:p>
        </w:tc>
        <w:tc>
          <w:tcPr>
            <w:tcW w:type="dxa" w:w="15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97890" cy="8991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3949"/>
            <w:vMerge/>
            <w:tcBorders/>
          </w:tcPr>
          <w:p/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0" w:history="1">
                <w:r>
                  <w:rPr>
                    <w:rStyle w:val="Hyperlink"/>
                  </w:rPr>
                  <w:t>Wardha, Maharashtra, India - 442001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949"/>
            <w:vMerge/>
            <w:tcBorders/>
          </w:tcPr>
          <w:p/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LinkedIn: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https://www.linkedin.com/in/gunjan-katre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675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EDUCATION</w:t>
            </w:r>
          </w:p>
        </w:tc>
        <w:tc>
          <w:tcPr>
            <w:tcW w:type="dxa" w:w="426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675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Bajaj Institute of Technology, Wardha</w:t>
            </w:r>
          </w:p>
        </w:tc>
        <w:tc>
          <w:tcPr>
            <w:tcW w:type="dxa" w:w="426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  -  2025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12"/>
        </w:trPr>
        <w:tc>
          <w:tcPr>
            <w:tcW w:type="dxa" w:w="7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26" w:after="0"/>
              <w:ind w:left="280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B.Tech. - Computer Engineering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CGPA: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8.64 / 10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Bajaj College of Science, Wardha</w:t>
            </w:r>
          </w:p>
        </w:tc>
        <w:tc>
          <w:tcPr>
            <w:tcW w:type="dxa" w:w="3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20"/>
        </w:trPr>
        <w:tc>
          <w:tcPr>
            <w:tcW w:type="dxa" w:w="97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26" w:after="0"/>
              <w:ind w:left="280" w:right="72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Maharashtra State Board of Secondary and Higher Secondary Education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95.50 / 100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Bhavans Lloyds Vidya Niketan, Wardha</w:t>
            </w:r>
          </w:p>
        </w:tc>
        <w:tc>
          <w:tcPr>
            <w:tcW w:type="dxa" w:w="15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518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10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Central Board of Secondary Education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89.20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759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PROFESSIONAL EXPERIENCE</w:t>
            </w:r>
          </w:p>
        </w:tc>
        <w:tc>
          <w:tcPr>
            <w:tcW w:type="dxa" w:w="342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759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 xml:space="preserve">Rotaract Club of Bajaj Institute of Technology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20"/>
              </w:rPr>
              <w:t xml:space="preserve"> | NGO / Social Services</w:t>
            </w:r>
          </w:p>
        </w:tc>
        <w:tc>
          <w:tcPr>
            <w:tcW w:type="dxa" w:w="342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30 Jun, 2023  - 30 Jun, 2024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48"/>
        </w:trPr>
        <w:tc>
          <w:tcPr>
            <w:tcW w:type="dxa" w:w="233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President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96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Leadership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Networking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Communication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Decision Making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Time Management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Team Work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1032"/>
        </w:trPr>
        <w:tc>
          <w:tcPr>
            <w:tcW w:type="dxa" w:w="1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Served as the President of Rotaract Club BITW, and guided team of 12 board of directors and 60+ club members, oversaw and was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actively involved in facilitating Social events. Coordinated and organized a diverse range of events, both in-person and virtual including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areas such as Energy and Environment, Health and Hygiene, Upcycling, Women empowerment for 200+ participants. Led 2 teams in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fellowship program and won 2 prizes in the very first year of installation of club.</w:t>
            </w:r>
          </w:p>
        </w:tc>
      </w:tr>
      <w:tr>
        <w:trPr>
          <w:trHeight w:hRule="exact" w:val="424"/>
        </w:trPr>
        <w:tc>
          <w:tcPr>
            <w:tcW w:type="dxa" w:w="50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 xml:space="preserve">Light Wardha NGO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20"/>
              </w:rPr>
              <w:t xml:space="preserve"> | NGO / Social Services</w:t>
            </w:r>
          </w:p>
        </w:tc>
        <w:tc>
          <w:tcPr>
            <w:tcW w:type="dxa" w:w="6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28 Jun, 2023  - 30 Jun, 2024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54"/>
        </w:trPr>
        <w:tc>
          <w:tcPr>
            <w:tcW w:type="dxa" w:w="229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Core Team Member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1030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Teamwork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Leadership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Communication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Project Management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Fundraising and Resource Mobilization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986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34" w:right="418" w:firstLine="0"/>
              <w:jc w:val="both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Served the community and helped those in need while fostering engagement and awareness of social issues, actively participated in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impactful projects including , participating in elocution competition, and coordinating a cloth donation camp, visiting an old age home,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distributing thank-you cards on Teachers' Day.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651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PROJECTS</w:t>
            </w:r>
          </w:p>
        </w:tc>
        <w:tc>
          <w:tcPr>
            <w:tcW w:type="dxa" w:w="450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651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Exploratory Data Analysis of Accident Dataset</w:t>
            </w:r>
          </w:p>
        </w:tc>
        <w:tc>
          <w:tcPr>
            <w:tcW w:type="dxa" w:w="45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01 Mar, 2024  -  30 Apr, 2024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8"/>
        </w:trPr>
        <w:tc>
          <w:tcPr>
            <w:tcW w:type="dxa" w:w="25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7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Data Analysis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EDA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Machine Learning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Random Forest Algorithm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812"/>
        </w:trPr>
        <w:tc>
          <w:tcPr>
            <w:tcW w:type="dxa" w:w="1130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280" w:right="43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Performed Exploratory Data Analysis on Accident dataset, created a heatmap visualization on a world map to represent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geographic distribution of accident frequencies. Implemented Random Forest and Python to visualize data to effectively communicate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insights gained from the analysis which includes charts, graphs, and heatmaps.</w:t>
            </w:r>
          </w:p>
        </w:tc>
      </w:tr>
      <w:tr>
        <w:trPr>
          <w:trHeight w:hRule="exact" w:val="449"/>
        </w:trPr>
        <w:tc>
          <w:tcPr>
            <w:tcW w:type="dxa" w:w="723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Chrome Extension for summarizing YouTube videos</w:t>
            </w:r>
          </w:p>
        </w:tc>
        <w:tc>
          <w:tcPr>
            <w:tcW w:type="dxa" w:w="406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01 Oct, 2023  -  30 Nov,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52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API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Web Development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Chrome Extension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600"/>
        </w:trPr>
        <w:tc>
          <w:tcPr>
            <w:tcW w:type="dxa" w:w="1130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280" w:right="576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Led a team of 3 members and developed a chrome extension for summarizing transcripts of YouTube videos on chrome. Achieved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video summarization into textual format using Python API and NLP (Natural Language Processing).</w:t>
            </w:r>
          </w:p>
        </w:tc>
      </w:tr>
      <w:tr>
        <w:trPr>
          <w:trHeight w:hRule="exact" w:val="439"/>
        </w:trPr>
        <w:tc>
          <w:tcPr>
            <w:tcW w:type="dxa" w:w="1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DentalCare</w:t>
            </w:r>
          </w:p>
        </w:tc>
        <w:tc>
          <w:tcPr>
            <w:tcW w:type="dxa" w:w="9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15 Feb, 2023  -  27 Apr,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4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Front-End Web Development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Database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986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34" w:right="14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Successfully developed a dynamic website which accepts registrations and stores them in database and allows admin login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and registration visibility. Implemented front-end development skills- HTML, CSS, JavaScript. Implemented backend programming logic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and database connectivity using PHP.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6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ASSESSMENTS / CERTIFICATIONS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330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Data Structures and Algorithm Using Java(NPTEL)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08"/>
        </w:trPr>
        <w:tc>
          <w:tcPr>
            <w:tcW w:type="dxa" w:w="6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67 / 100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58"/>
        </w:trPr>
        <w:tc>
          <w:tcPr>
            <w:tcW w:type="dxa" w:w="73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Programming in Java(NPTEL)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58"/>
          <w:pgMar w:top="172" w:right="28" w:bottom="28" w:left="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694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57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8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POSITIONS OF RESPONSIBILITY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326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Designing Team Member @ Google Developer Student Club- BITW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516"/>
        </w:trPr>
        <w:tc>
          <w:tcPr>
            <w:tcW w:type="dxa" w:w="111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0" w:right="43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Designed posters and flyers for events having more than 100 people, involved in planning and organizing events for more than 100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people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32"/>
        </w:trPr>
        <w:tc>
          <w:tcPr>
            <w:tcW w:type="dxa" w:w="87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Documentation Head, Content Head @ Readers’ Club- BITW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526"/>
        </w:trPr>
        <w:tc>
          <w:tcPr>
            <w:tcW w:type="dxa" w:w="112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Successfully organized more than 20+ Group Discussion sessions for 40+ participants, proactive member, served as an facilitator for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group discussion sessions for 40+ participants.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6"/>
        </w:trPr>
        <w:tc>
          <w:tcPr>
            <w:tcW w:type="dxa" w:w="86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Core team member @ Intel Developer Student Club- BITW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516"/>
        </w:trPr>
        <w:tc>
          <w:tcPr>
            <w:tcW w:type="dxa" w:w="111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Selected as one of the top 5 Core Team Members from 100+ applicants, effectively participated in training programs and served as a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content writer.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2"/>
        </w:trPr>
        <w:tc>
          <w:tcPr>
            <w:tcW w:type="dxa" w:w="8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Content Writer @ Newton School Coding Club- BITW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492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Actively served as a content writer in the community, worked for events having more than 80 people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38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EXTRA CURRICULAR ACTIVITIES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Winner in Women's Cricket Inter College Annual Sports Meet 2022-23</w:t>
            </w:r>
          </w:p>
        </w:tc>
      </w:tr>
      <w:tr>
        <w:trPr>
          <w:trHeight w:hRule="exact" w:val="26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Runner-up in Women's Cricket Inter College Annual Sports Meet 2023-24</w:t>
            </w:r>
          </w:p>
        </w:tc>
      </w:tr>
      <w:tr>
        <w:trPr>
          <w:trHeight w:hRule="exact" w:val="438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Runner-up in Women's Volleyball Inter College Annual Sports Meet in 2022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38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INTERESTS / HOBBIES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4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Yoga</w:t>
            </w:r>
          </w:p>
        </w:tc>
      </w:tr>
      <w:tr>
        <w:trPr>
          <w:trHeight w:hRule="exact" w:val="42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Pop Culture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38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WEB LINKS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96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Codechef -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9" w:history="1">
                <w:r>
                  <w:rPr>
                    <w:rStyle w:val="Hyperlink"/>
                  </w:rPr>
                  <w:t>https://www.codechef.com/users/gk_2102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6"/>
        </w:trPr>
        <w:tc>
          <w:tcPr>
            <w:tcW w:type="dxa" w:w="53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394"/>
            </w:tblGrid>
            <w:tr>
              <w:trPr>
                <w:trHeight w:hRule="exact" w:val="336"/>
              </w:trPr>
              <w:tc>
                <w:tcPr>
                  <w:tcW w:type="dxa" w:w="3754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DETAILS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6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70"/>
        </w:trPr>
        <w:tc>
          <w:tcPr>
            <w:tcW w:type="dxa" w:w="53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194" w:right="144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Gender: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Female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Marital Status: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Single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Current Address: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Karla Square, Wardha, Maharashtra, India -</w:t>
            </w:r>
          </w:p>
        </w:tc>
        <w:tc>
          <w:tcPr>
            <w:tcW w:type="dxa" w:w="5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222" w:right="2016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Date of Birth: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21 Feb, 2004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Known Languages: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English Hindi Marathi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Phone Number: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20" w:history="1">
                <w:r>
                  <w:rPr>
                    <w:rStyle w:val="Hyperlink"/>
                  </w:rPr>
                  <w:t>+91-9422601337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596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8"/>
        </w:rPr>
        <w:t>442001</w:t>
      </w:r>
    </w:p>
    <w:p>
      <w:pPr>
        <w:autoSpaceDN w:val="0"/>
        <w:autoSpaceDE w:val="0"/>
        <w:widowControl/>
        <w:spacing w:line="240" w:lineRule="auto" w:before="26" w:after="0"/>
        <w:ind w:left="596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8"/>
        </w:rPr>
        <w:t>Emails: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10" w:history="1">
          <w:r>
            <w:rPr>
              <w:rStyle w:val="Hyperlink"/>
            </w:rPr>
            <w:t>co.2021.grkatre@bitwardha.ac.in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8"/>
        </w:rPr>
        <w:t xml:space="preserve"> , 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21" w:history="1">
          <w:r>
            <w:rPr>
              <w:rStyle w:val="Hyperlink"/>
            </w:rPr>
            <w:t>katregunjan21@gmail.com</w:t>
          </w:r>
        </w:hyperlink>
      </w:r>
    </w:p>
    <w:sectPr w:rsidR="00FC693F" w:rsidRPr="0006063C" w:rsidSect="00034616">
      <w:pgSz w:w="11918" w:h="16858"/>
      <w:pgMar w:top="18" w:right="28" w:bottom="1440" w:left="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co.2021.grkatre@bitwardha.ac.in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linkedin.com/in/gunjan-katr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www.codechef.com/users/gk_2102" TargetMode="External"/><Relationship Id="rId20" Type="http://schemas.openxmlformats.org/officeDocument/2006/relationships/hyperlink" Target="tel:+91-9422601337" TargetMode="External"/><Relationship Id="rId21" Type="http://schemas.openxmlformats.org/officeDocument/2006/relationships/hyperlink" Target="mailto:katregunjan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